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2DC3D8E"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2F2612" w:rsidRPr="002F2612">
        <w:t>R4-1911512</w:t>
      </w:r>
      <w:bookmarkStart w:id="1" w:name="_GoBack"/>
      <w:bookmarkEnd w:id="1"/>
    </w:p>
    <w:p w14:paraId="50DC9730" w14:textId="1A232998"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p>
    <w:p w14:paraId="39A0EE25" w14:textId="77777777" w:rsidR="00D309CC" w:rsidRDefault="00D309CC" w:rsidP="00D309CC">
      <w:pPr>
        <w:tabs>
          <w:tab w:val="left" w:pos="2160"/>
        </w:tabs>
        <w:rPr>
          <w:rFonts w:ascii="Arial" w:hAnsi="Arial" w:cs="Arial"/>
          <w:b/>
        </w:rPr>
      </w:pPr>
    </w:p>
    <w:p w14:paraId="6DDCE159" w14:textId="3475CF9F" w:rsidR="00D309CC" w:rsidRPr="0008103A" w:rsidRDefault="00D309CC" w:rsidP="00D309CC">
      <w:pPr>
        <w:pStyle w:val="CH"/>
        <w:rPr>
          <w:b w:val="0"/>
        </w:rPr>
      </w:pPr>
      <w:r w:rsidRPr="0008103A">
        <w:t>Agenda item:</w:t>
      </w:r>
      <w:r>
        <w:tab/>
      </w:r>
      <w:r w:rsidR="00CA7253" w:rsidRPr="00CA7253">
        <w:t>8.14.6</w:t>
      </w:r>
    </w:p>
    <w:p w14:paraId="4DBE005A" w14:textId="77777777" w:rsidR="00D309CC" w:rsidRPr="0008103A" w:rsidRDefault="00D309CC" w:rsidP="00D309CC">
      <w:pPr>
        <w:pStyle w:val="CH"/>
        <w:rPr>
          <w:b w:val="0"/>
        </w:rPr>
      </w:pPr>
      <w:r>
        <w:t>Source:</w:t>
      </w:r>
      <w:r>
        <w:tab/>
        <w:t>Apple Inc.</w:t>
      </w:r>
    </w:p>
    <w:p w14:paraId="12344AA5" w14:textId="0CA337D5" w:rsidR="00CB4975" w:rsidRDefault="00CB4975" w:rsidP="00CB4975">
      <w:pPr>
        <w:pStyle w:val="CH"/>
        <w:ind w:left="2250" w:hanging="2250"/>
      </w:pPr>
      <w:r w:rsidRPr="0008103A">
        <w:t>Title:</w:t>
      </w:r>
      <w:r w:rsidRPr="0008103A">
        <w:tab/>
      </w:r>
      <w:r>
        <w:t>Carrier switching to enable non-simultaneous transmission for intra-band non-contiguous UL CA in FR2</w:t>
      </w:r>
    </w:p>
    <w:p w14:paraId="052B1E0C" w14:textId="1A83A3B1" w:rsidR="00104BC6" w:rsidRDefault="00104BC6" w:rsidP="00D309CC">
      <w:pPr>
        <w:pStyle w:val="CH"/>
      </w:pPr>
      <w:r>
        <w:t>WI/SI:</w:t>
      </w:r>
      <w:r>
        <w:tab/>
      </w:r>
      <w:r w:rsidR="00CB4975" w:rsidRPr="008B1DF7">
        <w:t>NR_RF_FR2_req_enh</w:t>
      </w:r>
    </w:p>
    <w:p w14:paraId="6C6D1281" w14:textId="365DF4E7" w:rsidR="00104BC6" w:rsidRDefault="00104BC6" w:rsidP="00D309CC">
      <w:pPr>
        <w:pStyle w:val="CH"/>
        <w:rPr>
          <w:b w:val="0"/>
        </w:rPr>
      </w:pPr>
      <w:r>
        <w:t>Release:</w:t>
      </w:r>
      <w:r>
        <w:tab/>
      </w:r>
      <w:r w:rsidRPr="00CB4975">
        <w:t>Rel-</w:t>
      </w:r>
      <w:r w:rsidR="00CB4975" w:rsidRPr="00CB4975">
        <w:t>16</w:t>
      </w:r>
    </w:p>
    <w:p w14:paraId="2E4E044D" w14:textId="4710554E" w:rsidR="00D309CC" w:rsidRDefault="00D309CC" w:rsidP="00D309CC">
      <w:pPr>
        <w:pStyle w:val="CH"/>
      </w:pPr>
      <w:r>
        <w:t>Document for:</w:t>
      </w:r>
      <w:r>
        <w:tab/>
      </w:r>
      <w:r w:rsidR="00F7339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2126AD" w14:textId="225F8E1E" w:rsidR="00CB4975" w:rsidRDefault="00CB4975" w:rsidP="00CB4975">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5F134F">
        <w:t>[1]</w:t>
      </w:r>
      <w:r>
        <w:fldChar w:fldCharType="end"/>
      </w:r>
      <w:r>
        <w:t>:</w:t>
      </w:r>
    </w:p>
    <w:p w14:paraId="4972D7F6" w14:textId="77777777" w:rsidR="00DF3F59" w:rsidRDefault="00DF3F59" w:rsidP="00CB4975"/>
    <w:p w14:paraId="5FD57BBC" w14:textId="77777777" w:rsidR="00CB4975" w:rsidRPr="004169CB" w:rsidRDefault="00CB4975" w:rsidP="00CB4975">
      <w:pPr>
        <w:pStyle w:val="B1"/>
        <w:pBdr>
          <w:top w:val="single" w:sz="4" w:space="1" w:color="auto"/>
          <w:left w:val="single" w:sz="4" w:space="4" w:color="auto"/>
          <w:bottom w:val="single" w:sz="4" w:space="1" w:color="auto"/>
          <w:right w:val="single" w:sz="4" w:space="4" w:color="auto"/>
        </w:pBdr>
        <w:rPr>
          <w:sz w:val="16"/>
          <w:szCs w:val="16"/>
        </w:rPr>
      </w:pPr>
      <w:r w:rsidRPr="004169CB">
        <w:rPr>
          <w:sz w:val="16"/>
          <w:szCs w:val="16"/>
        </w:rPr>
        <w:t>-</w:t>
      </w:r>
      <w:r w:rsidRPr="004169CB">
        <w:rPr>
          <w:sz w:val="16"/>
          <w:szCs w:val="16"/>
        </w:rPr>
        <w:tab/>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1BF8C0AD" w14:textId="77777777" w:rsidR="00CB4975" w:rsidRPr="004169CB" w:rsidRDefault="00CB4975" w:rsidP="00CB4975">
      <w:pPr>
        <w:pStyle w:val="B1"/>
        <w:pBdr>
          <w:top w:val="single" w:sz="4" w:space="1" w:color="auto"/>
          <w:left w:val="single" w:sz="4" w:space="4" w:color="auto"/>
          <w:bottom w:val="single" w:sz="4" w:space="1" w:color="auto"/>
          <w:right w:val="single" w:sz="4" w:space="4" w:color="auto"/>
        </w:pBdr>
        <w:rPr>
          <w:sz w:val="16"/>
          <w:szCs w:val="16"/>
        </w:rPr>
      </w:pPr>
      <w:r w:rsidRPr="004169CB">
        <w:rPr>
          <w:sz w:val="16"/>
          <w:szCs w:val="16"/>
        </w:rPr>
        <w:t>-</w:t>
      </w:r>
      <w:r w:rsidRPr="004169CB">
        <w:rPr>
          <w:sz w:val="16"/>
          <w:szCs w:val="16"/>
        </w:rPr>
        <w:tab/>
        <w:t>Phase 2: Define FR2 UE requirements for non-contiguous intra-band UL CA based on the outcome of the Phase 1 study</w:t>
      </w:r>
    </w:p>
    <w:p w14:paraId="06E92CC7" w14:textId="7D48E701" w:rsidR="008E7986" w:rsidRDefault="00AE6C72" w:rsidP="00CB4975">
      <w:r>
        <w:t xml:space="preserve">Prior to defining FR2 UE requirements in TS38.101-2 </w:t>
      </w:r>
      <w:r>
        <w:fldChar w:fldCharType="begin"/>
      </w:r>
      <w:r>
        <w:instrText xml:space="preserve"> REF _Ref16576366 \r \h </w:instrText>
      </w:r>
      <w:r>
        <w:fldChar w:fldCharType="separate"/>
      </w:r>
      <w:r w:rsidR="005F134F">
        <w:t>[2]</w:t>
      </w:r>
      <w:r>
        <w:fldChar w:fldCharType="end"/>
      </w:r>
      <w:r>
        <w:t xml:space="preserve"> for UEs supporting non-simultaneous UL</w:t>
      </w:r>
      <w:r w:rsidR="004169CB">
        <w:t xml:space="preserve"> (NSU)</w:t>
      </w:r>
      <w:r>
        <w:t xml:space="preserve"> in non-contiguous FR2 carriers in Phase 2, the feasibility of the proposed feature needs to be confirmed (Phase 1).</w:t>
      </w:r>
    </w:p>
    <w:p w14:paraId="26904400" w14:textId="77777777" w:rsidR="00DF3F59" w:rsidRDefault="00DF3F59" w:rsidP="00CB4975"/>
    <w:p w14:paraId="0EA60770" w14:textId="7A140B17" w:rsidR="00AE6C72" w:rsidRDefault="00AE6C72" w:rsidP="00CB4975">
      <w:r>
        <w:t xml:space="preserve">During the RAN2 meeting initial views on non-simultaneous UL were presented by companies in </w:t>
      </w:r>
      <w:r>
        <w:fldChar w:fldCharType="begin"/>
      </w:r>
      <w:r>
        <w:instrText xml:space="preserve"> REF _Ref20897948 \r \h </w:instrText>
      </w:r>
      <w:r>
        <w:fldChar w:fldCharType="separate"/>
      </w:r>
      <w:r w:rsidR="005F134F">
        <w:t>[3]</w:t>
      </w:r>
      <w:r>
        <w:fldChar w:fldCharType="end"/>
      </w:r>
      <w:r>
        <w:t xml:space="preserve">, </w:t>
      </w:r>
      <w:r>
        <w:fldChar w:fldCharType="begin"/>
      </w:r>
      <w:r>
        <w:instrText xml:space="preserve"> REF _Ref20897949 \r \h </w:instrText>
      </w:r>
      <w:r>
        <w:fldChar w:fldCharType="separate"/>
      </w:r>
      <w:r w:rsidR="005F134F">
        <w:t>[4]</w:t>
      </w:r>
      <w:r>
        <w:fldChar w:fldCharType="end"/>
      </w:r>
      <w:r>
        <w:t>.</w:t>
      </w:r>
      <w:r w:rsidR="004169CB">
        <w:t xml:space="preserve">  Agreements related to NSU did not yet capture RAN4 ensorsement of the feasibility of the feature but are nonetheless useful to track.  In the WF on non-contiguous UL in FR2 </w:t>
      </w:r>
      <w:r w:rsidR="004169CB">
        <w:fldChar w:fldCharType="begin"/>
      </w:r>
      <w:r w:rsidR="004169CB">
        <w:instrText xml:space="preserve"> REF _Ref20898479 \r \h </w:instrText>
      </w:r>
      <w:r w:rsidR="004169CB">
        <w:fldChar w:fldCharType="separate"/>
      </w:r>
      <w:r w:rsidR="005F134F">
        <w:t>[5]</w:t>
      </w:r>
      <w:r w:rsidR="004169CB">
        <w:fldChar w:fldCharType="end"/>
      </w:r>
      <w:r w:rsidR="004169CB">
        <w:t>:</w:t>
      </w:r>
    </w:p>
    <w:p w14:paraId="57160498" w14:textId="35632340" w:rsidR="004169CB" w:rsidRDefault="004169CB" w:rsidP="004169CB">
      <w:pPr>
        <w:pStyle w:val="B1"/>
        <w:pBdr>
          <w:top w:val="single" w:sz="4" w:space="1" w:color="auto"/>
          <w:left w:val="single" w:sz="4" w:space="4" w:color="auto"/>
          <w:bottom w:val="single" w:sz="4" w:space="1" w:color="auto"/>
          <w:right w:val="single" w:sz="4" w:space="4" w:color="auto"/>
        </w:pBdr>
        <w:rPr>
          <w:sz w:val="16"/>
          <w:szCs w:val="16"/>
        </w:rPr>
      </w:pPr>
      <w:r>
        <w:rPr>
          <w:sz w:val="16"/>
          <w:szCs w:val="16"/>
        </w:rPr>
        <w:t>IBE, EVM</w:t>
      </w:r>
    </w:p>
    <w:p w14:paraId="374C19EE" w14:textId="558C9E24" w:rsidR="004169CB" w:rsidRDefault="004169CB" w:rsidP="004169CB">
      <w:pPr>
        <w:pStyle w:val="B1"/>
        <w:pBdr>
          <w:top w:val="single" w:sz="4" w:space="1" w:color="auto"/>
          <w:left w:val="single" w:sz="4" w:space="4" w:color="auto"/>
          <w:bottom w:val="single" w:sz="4" w:space="1" w:color="auto"/>
          <w:right w:val="single" w:sz="4" w:space="4" w:color="auto"/>
        </w:pBdr>
        <w:rPr>
          <w:sz w:val="16"/>
          <w:szCs w:val="16"/>
        </w:rPr>
      </w:pPr>
      <w:r w:rsidRPr="004169CB">
        <w:rPr>
          <w:sz w:val="16"/>
          <w:szCs w:val="16"/>
        </w:rPr>
        <w:t>Figure 1: EVM, IBE Evaluation for FR2 NC CA</w:t>
      </w:r>
    </w:p>
    <w:p w14:paraId="0E9BB2DB" w14:textId="4ABC83B4" w:rsidR="004169CB" w:rsidRDefault="004169CB" w:rsidP="004169CB">
      <w:pPr>
        <w:pStyle w:val="B1"/>
        <w:pBdr>
          <w:top w:val="single" w:sz="4" w:space="1" w:color="auto"/>
          <w:left w:val="single" w:sz="4" w:space="4" w:color="auto"/>
          <w:bottom w:val="single" w:sz="4" w:space="1" w:color="auto"/>
          <w:right w:val="single" w:sz="4" w:space="4" w:color="auto"/>
        </w:pBdr>
        <w:rPr>
          <w:sz w:val="16"/>
          <w:szCs w:val="16"/>
        </w:rPr>
      </w:pPr>
      <w:r w:rsidRPr="004169CB">
        <w:rPr>
          <w:noProof/>
          <w:sz w:val="16"/>
          <w:szCs w:val="16"/>
        </w:rPr>
        <w:drawing>
          <wp:inline distT="0" distB="0" distL="0" distR="0" wp14:anchorId="3D157DC9" wp14:editId="20C54C28">
            <wp:extent cx="3657600" cy="708681"/>
            <wp:effectExtent l="0" t="0" r="0" b="2540"/>
            <wp:docPr id="1027" name="Picture 3">
              <a:extLst xmlns:a="http://schemas.openxmlformats.org/drawingml/2006/main">
                <a:ext uri="{FF2B5EF4-FFF2-40B4-BE49-F238E27FC236}">
                  <a16:creationId xmlns:a16="http://schemas.microsoft.com/office/drawing/2014/main" id="{600476EF-D58C-412E-BC8E-545CA703D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a:extLst>
                        <a:ext uri="{FF2B5EF4-FFF2-40B4-BE49-F238E27FC236}">
                          <a16:creationId xmlns:a16="http://schemas.microsoft.com/office/drawing/2014/main" id="{600476EF-D58C-412E-BC8E-545CA703DF68}"/>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708681"/>
                    </a:xfrm>
                    <a:prstGeom prst="rect">
                      <a:avLst/>
                    </a:prstGeom>
                    <a:noFill/>
                    <a:extLst/>
                  </pic:spPr>
                </pic:pic>
              </a:graphicData>
            </a:graphic>
          </wp:inline>
        </w:drawing>
      </w:r>
    </w:p>
    <w:p w14:paraId="277B2E9D" w14:textId="127A3FB9" w:rsidR="004169CB" w:rsidRDefault="004169CB" w:rsidP="004169CB">
      <w:pPr>
        <w:pStyle w:val="B1"/>
        <w:pBdr>
          <w:top w:val="single" w:sz="4" w:space="1" w:color="auto"/>
          <w:left w:val="single" w:sz="4" w:space="4" w:color="auto"/>
          <w:bottom w:val="single" w:sz="4" w:space="1" w:color="auto"/>
          <w:right w:val="single" w:sz="4" w:space="4" w:color="auto"/>
        </w:pBdr>
        <w:rPr>
          <w:sz w:val="16"/>
          <w:szCs w:val="16"/>
        </w:rPr>
      </w:pPr>
      <w:r w:rsidRPr="004169CB">
        <w:rPr>
          <w:sz w:val="16"/>
          <w:szCs w:val="16"/>
        </w:rPr>
        <w:t>-</w:t>
      </w:r>
      <w:r w:rsidRPr="004169CB">
        <w:rPr>
          <w:sz w:val="16"/>
          <w:szCs w:val="16"/>
        </w:rPr>
        <w:tab/>
        <w:t>EVM, IBE requirements for simultaneous intra-band contiguous CA are defined with all CCs active and configured with PRB allocation only applied on the PCC and no PRB allocation applied on other CCs per subclause 6.5.2A [4].</w:t>
      </w:r>
    </w:p>
    <w:p w14:paraId="76EB5586" w14:textId="7ADB119D" w:rsidR="004169CB" w:rsidRPr="004169CB" w:rsidRDefault="004169CB" w:rsidP="004169CB">
      <w:pPr>
        <w:pStyle w:val="B1"/>
        <w:pBdr>
          <w:top w:val="single" w:sz="4" w:space="1" w:color="auto"/>
          <w:left w:val="single" w:sz="4" w:space="4" w:color="auto"/>
          <w:bottom w:val="single" w:sz="4" w:space="1" w:color="auto"/>
          <w:right w:val="single" w:sz="4" w:space="4" w:color="auto"/>
        </w:pBdr>
        <w:rPr>
          <w:sz w:val="16"/>
          <w:szCs w:val="16"/>
        </w:rPr>
      </w:pPr>
      <w:r>
        <w:rPr>
          <w:sz w:val="16"/>
          <w:szCs w:val="16"/>
        </w:rPr>
        <w:tab/>
        <w:t>-</w:t>
      </w:r>
      <w:r>
        <w:rPr>
          <w:sz w:val="16"/>
          <w:szCs w:val="16"/>
        </w:rPr>
        <w:tab/>
      </w:r>
      <w:r w:rsidRPr="004169CB">
        <w:rPr>
          <w:sz w:val="16"/>
          <w:szCs w:val="16"/>
        </w:rPr>
        <w:t>Whether all CCs can be assumed to be active is FFS for non-simultaneous UL NC CA</w:t>
      </w:r>
    </w:p>
    <w:p w14:paraId="3BB7F8D4" w14:textId="3FF91C88" w:rsidR="004169CB" w:rsidRPr="004169CB" w:rsidRDefault="004169CB" w:rsidP="004169CB">
      <w:pPr>
        <w:pStyle w:val="B1"/>
        <w:pBdr>
          <w:top w:val="single" w:sz="4" w:space="1" w:color="auto"/>
          <w:left w:val="single" w:sz="4" w:space="4" w:color="auto"/>
          <w:bottom w:val="single" w:sz="4" w:space="1" w:color="auto"/>
          <w:right w:val="single" w:sz="4" w:space="4" w:color="auto"/>
        </w:pBdr>
        <w:rPr>
          <w:sz w:val="16"/>
          <w:szCs w:val="16"/>
        </w:rPr>
      </w:pPr>
      <w:r w:rsidRPr="004169CB">
        <w:rPr>
          <w:sz w:val="16"/>
          <w:szCs w:val="16"/>
        </w:rPr>
        <w:t>-</w:t>
      </w:r>
      <w:r w:rsidRPr="004169CB">
        <w:rPr>
          <w:sz w:val="16"/>
          <w:szCs w:val="16"/>
        </w:rPr>
        <w:tab/>
        <w:t>PCC with PRB allocation, SCC and other CCs without PRB allocation</w:t>
      </w:r>
    </w:p>
    <w:p w14:paraId="528FE776" w14:textId="39BE4553" w:rsidR="004169CB" w:rsidRDefault="00A00460" w:rsidP="00CB4975">
      <w:r>
        <w:t xml:space="preserve">A further related agreement was captured in the RAN4 Chairman’s minutes </w:t>
      </w:r>
      <w:r>
        <w:fldChar w:fldCharType="begin"/>
      </w:r>
      <w:r>
        <w:instrText xml:space="preserve"> REF _Ref20898777 \r \h </w:instrText>
      </w:r>
      <w:r>
        <w:fldChar w:fldCharType="separate"/>
      </w:r>
      <w:r w:rsidR="005F134F">
        <w:t>[6]</w:t>
      </w:r>
      <w:r>
        <w:fldChar w:fldCharType="end"/>
      </w:r>
      <w:r>
        <w:t>:</w:t>
      </w:r>
    </w:p>
    <w:p w14:paraId="59476074" w14:textId="77777777" w:rsidR="00A00460" w:rsidRP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R4-1908166</w:t>
      </w:r>
      <w:r w:rsidRPr="00A00460">
        <w:rPr>
          <w:sz w:val="16"/>
          <w:szCs w:val="16"/>
        </w:rPr>
        <w:tab/>
        <w:t>On FR2 Intra-band NC ULCA</w:t>
      </w:r>
    </w:p>
    <w:p w14:paraId="224C1B15" w14:textId="77777777" w:rsidR="00A00460" w:rsidRP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ab/>
      </w:r>
      <w:r w:rsidRPr="00A00460">
        <w:rPr>
          <w:sz w:val="16"/>
          <w:szCs w:val="16"/>
        </w:rPr>
        <w:tab/>
      </w:r>
      <w:r w:rsidRPr="00A00460">
        <w:rPr>
          <w:sz w:val="16"/>
          <w:szCs w:val="16"/>
        </w:rPr>
        <w:tab/>
      </w:r>
      <w:r w:rsidRPr="00A00460">
        <w:rPr>
          <w:sz w:val="16"/>
          <w:szCs w:val="16"/>
        </w:rPr>
        <w:tab/>
      </w:r>
      <w:r w:rsidRPr="00A00460">
        <w:rPr>
          <w:sz w:val="16"/>
          <w:szCs w:val="16"/>
        </w:rPr>
        <w:tab/>
        <w:t>38.101-2</w:t>
      </w:r>
      <w:r w:rsidRPr="00A00460">
        <w:rPr>
          <w:sz w:val="16"/>
          <w:szCs w:val="16"/>
        </w:rPr>
        <w:tab/>
        <w:t xml:space="preserve">  CR-  rev  Cat:  (Rel-16) v</w:t>
      </w:r>
    </w:p>
    <w:p w14:paraId="5CB7BF68" w14:textId="77777777" w:rsidR="00A00460" w:rsidRP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ab/>
      </w:r>
      <w:r w:rsidRPr="00A00460">
        <w:rPr>
          <w:sz w:val="16"/>
          <w:szCs w:val="16"/>
        </w:rPr>
        <w:tab/>
      </w:r>
      <w:r w:rsidRPr="00A00460">
        <w:rPr>
          <w:sz w:val="16"/>
          <w:szCs w:val="16"/>
        </w:rPr>
        <w:tab/>
      </w:r>
      <w:r w:rsidRPr="00A00460">
        <w:rPr>
          <w:sz w:val="16"/>
          <w:szCs w:val="16"/>
        </w:rPr>
        <w:tab/>
      </w:r>
      <w:r w:rsidRPr="00A00460">
        <w:rPr>
          <w:sz w:val="16"/>
          <w:szCs w:val="16"/>
        </w:rPr>
        <w:tab/>
        <w:t>Source: Qualcomm Incorporated</w:t>
      </w:r>
    </w:p>
    <w:p w14:paraId="1036DD43" w14:textId="77777777" w:rsidR="00A00460" w:rsidRP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 xml:space="preserve">Abstract: </w:t>
      </w:r>
    </w:p>
    <w:p w14:paraId="23D31D12" w14:textId="77777777" w:rsidR="00A00460" w:rsidRP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We outline a work plan and discuss two variants of NC UL CA</w:t>
      </w:r>
    </w:p>
    <w:p w14:paraId="750F0B2F" w14:textId="77777777" w:rsidR="00A00460" w:rsidRP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 xml:space="preserve">Discussion: </w:t>
      </w:r>
    </w:p>
    <w:p w14:paraId="0CF32E7F" w14:textId="77777777" w:rsidR="00A00460"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Intel: Frequency separation class, DL is 2400MHz. How about UL? Some latency requirements are necessary</w:t>
      </w:r>
      <w:r>
        <w:rPr>
          <w:sz w:val="16"/>
          <w:szCs w:val="16"/>
        </w:rPr>
        <w:t>.</w:t>
      </w:r>
      <w:r>
        <w:rPr>
          <w:sz w:val="16"/>
          <w:szCs w:val="16"/>
        </w:rPr>
        <w:br/>
      </w:r>
      <w:r w:rsidRPr="00A00460">
        <w:rPr>
          <w:sz w:val="16"/>
          <w:szCs w:val="16"/>
        </w:rPr>
        <w:t>Apple: Switching time needs to be discussed further. For work plan, we wonder if we can finish SI phase in Oct. For P1 and P2, yes, we do need some signalling mechanism discussion in the future meetings.</w:t>
      </w:r>
      <w:r>
        <w:rPr>
          <w:sz w:val="16"/>
          <w:szCs w:val="16"/>
        </w:rPr>
        <w:br/>
      </w:r>
      <w:r w:rsidRPr="00A00460">
        <w:rPr>
          <w:sz w:val="16"/>
          <w:szCs w:val="16"/>
        </w:rPr>
        <w:lastRenderedPageBreak/>
        <w:t>Qualcomm: We do not have intention to change the definition. We are not suggesting to specify 0 s but we propose to not specify it. We did not address separation class for UL.</w:t>
      </w:r>
    </w:p>
    <w:p w14:paraId="2ADD1AB7" w14:textId="0CB16819" w:rsidR="00A00460" w:rsidRPr="004169CB" w:rsidRDefault="00A00460" w:rsidP="00A00460">
      <w:pPr>
        <w:pStyle w:val="B1"/>
        <w:pBdr>
          <w:top w:val="single" w:sz="4" w:space="1" w:color="auto"/>
          <w:left w:val="single" w:sz="4" w:space="4" w:color="auto"/>
          <w:bottom w:val="single" w:sz="4" w:space="1" w:color="auto"/>
          <w:right w:val="single" w:sz="4" w:space="4" w:color="auto"/>
        </w:pBdr>
        <w:ind w:left="270" w:firstLine="0"/>
        <w:rPr>
          <w:sz w:val="16"/>
          <w:szCs w:val="16"/>
        </w:rPr>
      </w:pPr>
      <w:r w:rsidRPr="00A00460">
        <w:rPr>
          <w:sz w:val="16"/>
          <w:szCs w:val="16"/>
        </w:rPr>
        <w:t>Agreement: For simultaneous transmission, frequency separation is up to 1400MHz.</w:t>
      </w:r>
    </w:p>
    <w:p w14:paraId="2AAC5EA7" w14:textId="05A89793" w:rsidR="004169CB" w:rsidRDefault="00FF0621" w:rsidP="00CB4975">
      <w:r>
        <w:t>This contribution provides the analysis to confirm the feasibility of carrier switching to support non-simultaneous uplink of non-contiguous carriers, proposes to conclude the Phase 1 of the related study by confirming the feature’s feasibility, and recommend further study into the case of UL carrier group switching.</w:t>
      </w:r>
    </w:p>
    <w:p w14:paraId="3A67921B" w14:textId="5FCD5D11" w:rsidR="008E7986" w:rsidRDefault="008E7986" w:rsidP="008E7986">
      <w:pPr>
        <w:pStyle w:val="Heading1"/>
      </w:pPr>
      <w:r>
        <w:t>2</w:t>
      </w:r>
      <w:r>
        <w:tab/>
      </w:r>
      <w:r w:rsidR="00FF0621">
        <w:t>Discussion</w:t>
      </w:r>
      <w:r>
        <w:t xml:space="preserve"> </w:t>
      </w:r>
    </w:p>
    <w:p w14:paraId="2ED90DB7" w14:textId="5DF05BC0" w:rsidR="008E7986" w:rsidRDefault="008E7986" w:rsidP="008E7986">
      <w:pPr>
        <w:pStyle w:val="Heading2"/>
      </w:pPr>
      <w:r>
        <w:t>2.1</w:t>
      </w:r>
      <w:r>
        <w:tab/>
      </w:r>
      <w:r w:rsidR="00FF0621">
        <w:t>A brief review of the BWP switching framework</w:t>
      </w:r>
    </w:p>
    <w:p w14:paraId="68FCC2AB" w14:textId="16CE7F8B" w:rsidR="00FF0621" w:rsidRDefault="006E7AE7" w:rsidP="00FF0621">
      <w:r>
        <w:t xml:space="preserve">The bandwidth part (BWP) switching framework is a set of system parameters which enables flexible bandwidth operation by the BS and UE in NR.  The BWP switching scenario were defined in </w:t>
      </w:r>
      <w:r>
        <w:fldChar w:fldCharType="begin"/>
      </w:r>
      <w:r>
        <w:instrText xml:space="preserve"> REF _Ref20901967 \r \h </w:instrText>
      </w:r>
      <w:r>
        <w:fldChar w:fldCharType="separate"/>
      </w:r>
      <w:r w:rsidR="005F134F">
        <w:t>[7]</w:t>
      </w:r>
      <w:r>
        <w:fldChar w:fldCharType="end"/>
      </w:r>
      <w:r>
        <w:t xml:space="preserve">, </w:t>
      </w:r>
      <w:r>
        <w:fldChar w:fldCharType="begin"/>
      </w:r>
      <w:r>
        <w:instrText xml:space="preserve"> REF _Ref20902198 \r \h </w:instrText>
      </w:r>
      <w:r>
        <w:fldChar w:fldCharType="separate"/>
      </w:r>
      <w:r w:rsidR="005F134F">
        <w:t>[8]</w:t>
      </w:r>
      <w:r>
        <w:fldChar w:fldCharType="end"/>
      </w:r>
      <w:r>
        <w:t xml:space="preserve"> and include the following:</w:t>
      </w:r>
    </w:p>
    <w:p w14:paraId="595CA73F" w14:textId="77777777" w:rsidR="00DF3F59" w:rsidRDefault="00DF3F59" w:rsidP="00FF0621"/>
    <w:p w14:paraId="400544C6" w14:textId="2B298434" w:rsidR="006E7AE7" w:rsidRDefault="006E7AE7" w:rsidP="006E7AE7">
      <w:pPr>
        <w:pStyle w:val="B1"/>
        <w:pBdr>
          <w:top w:val="single" w:sz="4" w:space="1" w:color="auto"/>
          <w:left w:val="single" w:sz="4" w:space="4" w:color="auto"/>
          <w:bottom w:val="single" w:sz="4" w:space="1" w:color="auto"/>
          <w:right w:val="single" w:sz="4" w:space="4" w:color="auto"/>
        </w:pBdr>
        <w:rPr>
          <w:sz w:val="16"/>
          <w:szCs w:val="16"/>
        </w:rPr>
      </w:pPr>
      <w:r w:rsidRPr="006E7AE7">
        <w:rPr>
          <w:sz w:val="16"/>
          <w:szCs w:val="16"/>
        </w:rPr>
        <w:t>The bandwidth part (BWP) switching delay for the following 4 BWP reconfiguration scenarios was agreed in an LS out in R4-1803283 as summarized in the table below:</w:t>
      </w:r>
    </w:p>
    <w:p w14:paraId="27D3441F" w14:textId="77777777" w:rsidR="006E7AE7" w:rsidRPr="006E7AE7" w:rsidRDefault="006E7AE7" w:rsidP="006E7AE7">
      <w:pPr>
        <w:pStyle w:val="B1"/>
        <w:pBdr>
          <w:top w:val="single" w:sz="4" w:space="1" w:color="auto"/>
          <w:left w:val="single" w:sz="4" w:space="4" w:color="auto"/>
          <w:bottom w:val="single" w:sz="4" w:space="1" w:color="auto"/>
          <w:right w:val="single" w:sz="4" w:space="4" w:color="auto"/>
        </w:pBdr>
        <w:rPr>
          <w:sz w:val="16"/>
          <w:szCs w:val="16"/>
        </w:rPr>
      </w:pPr>
      <w:r w:rsidRPr="004169CB">
        <w:rPr>
          <w:sz w:val="16"/>
          <w:szCs w:val="16"/>
        </w:rPr>
        <w:t>-</w:t>
      </w:r>
      <w:r w:rsidRPr="004169CB">
        <w:rPr>
          <w:sz w:val="16"/>
          <w:szCs w:val="16"/>
        </w:rPr>
        <w:tab/>
      </w:r>
      <w:r w:rsidRPr="006E7AE7">
        <w:rPr>
          <w:sz w:val="16"/>
          <w:szCs w:val="16"/>
        </w:rPr>
        <w:t>Scenario 1: The reconfiguration involves changing the center frequency of the BWP without changing its BW. The reconfiguration may or may not involve changing the SCS.</w:t>
      </w:r>
    </w:p>
    <w:p w14:paraId="6EE9144D" w14:textId="2A960208" w:rsidR="006E7AE7" w:rsidRPr="006E7AE7" w:rsidRDefault="006E7AE7" w:rsidP="006E7AE7">
      <w:pPr>
        <w:pStyle w:val="B1"/>
        <w:pBdr>
          <w:top w:val="single" w:sz="4" w:space="1" w:color="auto"/>
          <w:left w:val="single" w:sz="4" w:space="4" w:color="auto"/>
          <w:bottom w:val="single" w:sz="4" w:space="1" w:color="auto"/>
          <w:right w:val="single" w:sz="4" w:space="4" w:color="auto"/>
        </w:pBdr>
        <w:rPr>
          <w:sz w:val="16"/>
          <w:szCs w:val="16"/>
        </w:rPr>
      </w:pPr>
      <w:r>
        <w:rPr>
          <w:sz w:val="16"/>
          <w:szCs w:val="16"/>
        </w:rPr>
        <w:t>-</w:t>
      </w:r>
      <w:r>
        <w:rPr>
          <w:sz w:val="16"/>
          <w:szCs w:val="16"/>
        </w:rPr>
        <w:tab/>
      </w:r>
      <w:r w:rsidRPr="006E7AE7">
        <w:rPr>
          <w:sz w:val="16"/>
          <w:szCs w:val="16"/>
        </w:rPr>
        <w:t>Scenario 2: The reconfiguration involves changing the BW of the BWP without changing its center frequency. The reconfiguration may or may not involve changing the SCS.</w:t>
      </w:r>
    </w:p>
    <w:p w14:paraId="7EBCD344" w14:textId="2E3CCDE0" w:rsidR="006E7AE7" w:rsidRPr="006E7AE7" w:rsidRDefault="006E7AE7" w:rsidP="006E7AE7">
      <w:pPr>
        <w:pStyle w:val="B1"/>
        <w:pBdr>
          <w:top w:val="single" w:sz="4" w:space="1" w:color="auto"/>
          <w:left w:val="single" w:sz="4" w:space="4" w:color="auto"/>
          <w:bottom w:val="single" w:sz="4" w:space="1" w:color="auto"/>
          <w:right w:val="single" w:sz="4" w:space="4" w:color="auto"/>
        </w:pBdr>
        <w:rPr>
          <w:sz w:val="16"/>
          <w:szCs w:val="16"/>
        </w:rPr>
      </w:pPr>
      <w:r>
        <w:rPr>
          <w:sz w:val="16"/>
          <w:szCs w:val="16"/>
        </w:rPr>
        <w:t>-</w:t>
      </w:r>
      <w:r>
        <w:rPr>
          <w:sz w:val="16"/>
          <w:szCs w:val="16"/>
        </w:rPr>
        <w:tab/>
      </w:r>
      <w:r w:rsidRPr="006E7AE7">
        <w:rPr>
          <w:sz w:val="16"/>
          <w:szCs w:val="16"/>
        </w:rPr>
        <w:t>Scenario 3: The reconfiguration involves changing both the BW and the center frequency of the BWP. The reconfiguration may or may not involve changing the SCS.</w:t>
      </w:r>
    </w:p>
    <w:p w14:paraId="0D74B4ED" w14:textId="0231EBEF" w:rsidR="006E7AE7" w:rsidRPr="004169CB" w:rsidRDefault="006E7AE7" w:rsidP="006E7AE7">
      <w:pPr>
        <w:pStyle w:val="B1"/>
        <w:pBdr>
          <w:top w:val="single" w:sz="4" w:space="1" w:color="auto"/>
          <w:left w:val="single" w:sz="4" w:space="4" w:color="auto"/>
          <w:bottom w:val="single" w:sz="4" w:space="1" w:color="auto"/>
          <w:right w:val="single" w:sz="4" w:space="4" w:color="auto"/>
        </w:pBdr>
        <w:rPr>
          <w:sz w:val="16"/>
          <w:szCs w:val="16"/>
        </w:rPr>
      </w:pPr>
      <w:r>
        <w:rPr>
          <w:sz w:val="16"/>
          <w:szCs w:val="16"/>
        </w:rPr>
        <w:t>-</w:t>
      </w:r>
      <w:r>
        <w:rPr>
          <w:sz w:val="16"/>
          <w:szCs w:val="16"/>
        </w:rPr>
        <w:tab/>
      </w:r>
      <w:r w:rsidRPr="006E7AE7">
        <w:rPr>
          <w:sz w:val="16"/>
          <w:szCs w:val="16"/>
        </w:rPr>
        <w:t>Scenario 4: The reconfiguration involves changing only the SCS, where the center frequency and BW of the BWP remain unchanged.</w:t>
      </w:r>
    </w:p>
    <w:p w14:paraId="2B3597E6" w14:textId="42161777" w:rsidR="006E7AE7" w:rsidRDefault="006E7AE7" w:rsidP="00FF0621">
      <w:r>
        <w:t>Figure 1 below illustrates the scenarios graphically.</w:t>
      </w:r>
    </w:p>
    <w:p w14:paraId="241B98FA" w14:textId="17EC1D85" w:rsidR="004E3D44" w:rsidRDefault="006E7AE7" w:rsidP="004E3D44">
      <w:pPr>
        <w:jc w:val="center"/>
      </w:pPr>
      <w:r w:rsidRPr="006E7AE7">
        <w:rPr>
          <w:noProof/>
        </w:rPr>
        <w:drawing>
          <wp:inline distT="0" distB="0" distL="0" distR="0" wp14:anchorId="5835301C" wp14:editId="256FA6A1">
            <wp:extent cx="2743200" cy="275222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2752224"/>
                    </a:xfrm>
                    <a:prstGeom prst="rect">
                      <a:avLst/>
                    </a:prstGeom>
                  </pic:spPr>
                </pic:pic>
              </a:graphicData>
            </a:graphic>
          </wp:inline>
        </w:drawing>
      </w:r>
    </w:p>
    <w:p w14:paraId="1176EB9D" w14:textId="08ECA4FE" w:rsidR="006E7AE7" w:rsidRPr="004D3578" w:rsidRDefault="006E7AE7" w:rsidP="006E7AE7">
      <w:pPr>
        <w:pStyle w:val="TF"/>
      </w:pPr>
      <w:r w:rsidRPr="004D3578">
        <w:t xml:space="preserve">Figure 1: </w:t>
      </w:r>
      <w:r>
        <w:t xml:space="preserve">BWP switching scenarios </w:t>
      </w:r>
      <w:r>
        <w:fldChar w:fldCharType="begin"/>
      </w:r>
      <w:r>
        <w:instrText xml:space="preserve"> REF _Ref20901967 \r \h </w:instrText>
      </w:r>
      <w:r>
        <w:fldChar w:fldCharType="separate"/>
      </w:r>
      <w:r w:rsidR="005F134F">
        <w:t>[7]</w:t>
      </w:r>
      <w:r>
        <w:fldChar w:fldCharType="end"/>
      </w:r>
      <w:r>
        <w:t xml:space="preserve">, </w:t>
      </w:r>
      <w:r>
        <w:fldChar w:fldCharType="begin"/>
      </w:r>
      <w:r>
        <w:instrText xml:space="preserve"> REF _Ref20902198 \r \h </w:instrText>
      </w:r>
      <w:r>
        <w:fldChar w:fldCharType="separate"/>
      </w:r>
      <w:r w:rsidR="005F134F">
        <w:t>[8]</w:t>
      </w:r>
      <w:r>
        <w:fldChar w:fldCharType="end"/>
      </w:r>
    </w:p>
    <w:p w14:paraId="0D3D3A29" w14:textId="0887C657" w:rsidR="004E3D44" w:rsidRDefault="00286F1A" w:rsidP="004E3D44">
      <w:r>
        <w:t xml:space="preserve">The BWP switching delays were quantified for each scenario based on an analysis of LO retuning, RF and BB configuration for the BW, and RF and BB configuration for the SCS </w:t>
      </w:r>
      <w:r w:rsidR="00A205DD">
        <w:t>and are summarized in Table 1 below.</w:t>
      </w:r>
    </w:p>
    <w:p w14:paraId="5C707BD7" w14:textId="19110B0E" w:rsidR="00A205DD" w:rsidRDefault="00A205DD" w:rsidP="00A205DD">
      <w:pPr>
        <w:pStyle w:val="TH"/>
      </w:pPr>
      <w:r w:rsidRPr="004D3578">
        <w:lastRenderedPageBreak/>
        <w:t xml:space="preserve">Table 1: </w:t>
      </w:r>
      <w:r>
        <w:t xml:space="preserve">BWP switching delay parameters </w:t>
      </w:r>
      <w:r>
        <w:fldChar w:fldCharType="begin"/>
      </w:r>
      <w:r>
        <w:instrText xml:space="preserve"> REF _Ref20901967 \r \h </w:instrText>
      </w:r>
      <w:r>
        <w:fldChar w:fldCharType="separate"/>
      </w:r>
      <w:r w:rsidR="005F134F">
        <w:t>[7]</w:t>
      </w:r>
      <w:r>
        <w:fldChar w:fldCharType="end"/>
      </w:r>
    </w:p>
    <w:tbl>
      <w:tblPr>
        <w:tblW w:w="8640" w:type="dxa"/>
        <w:jc w:val="center"/>
        <w:tblCellMar>
          <w:left w:w="0" w:type="dxa"/>
          <w:right w:w="0" w:type="dxa"/>
        </w:tblCellMar>
        <w:tblLook w:val="04A0" w:firstRow="1" w:lastRow="0" w:firstColumn="1" w:lastColumn="0" w:noHBand="0" w:noVBand="1"/>
      </w:tblPr>
      <w:tblGrid>
        <w:gridCol w:w="1736"/>
        <w:gridCol w:w="1504"/>
        <w:gridCol w:w="1492"/>
        <w:gridCol w:w="1492"/>
        <w:gridCol w:w="2416"/>
      </w:tblGrid>
      <w:tr w:rsidR="00A205DD" w:rsidRPr="00A205DD" w14:paraId="63ECEBC7" w14:textId="77777777" w:rsidTr="0065410B">
        <w:trPr>
          <w:trHeight w:val="480"/>
          <w:jc w:val="center"/>
        </w:trPr>
        <w:tc>
          <w:tcPr>
            <w:tcW w:w="969" w:type="dxa"/>
            <w:tcBorders>
              <w:top w:val="single" w:sz="6" w:space="0" w:color="000000"/>
              <w:left w:val="single" w:sz="6" w:space="0" w:color="000000"/>
              <w:bottom w:val="single" w:sz="6" w:space="0" w:color="000000"/>
              <w:right w:val="single" w:sz="6" w:space="0" w:color="000000"/>
            </w:tcBorders>
            <w:shd w:val="clear" w:color="auto" w:fill="D0D0D0"/>
            <w:tcMar>
              <w:top w:w="15" w:type="dxa"/>
              <w:left w:w="108" w:type="dxa"/>
              <w:bottom w:w="0" w:type="dxa"/>
              <w:right w:w="108" w:type="dxa"/>
            </w:tcMar>
            <w:vAlign w:val="center"/>
            <w:hideMark/>
          </w:tcPr>
          <w:p w14:paraId="01504994" w14:textId="77777777" w:rsidR="00A205DD" w:rsidRPr="00A205DD" w:rsidRDefault="00A205DD" w:rsidP="00041868">
            <w:pPr>
              <w:contextualSpacing/>
            </w:pPr>
            <w:r w:rsidRPr="00A205DD">
              <w:rPr>
                <w:rFonts w:ascii="Arial" w:hAnsi="Arial" w:cs="Arial"/>
                <w:b/>
                <w:bCs/>
                <w:color w:val="000000"/>
                <w:sz w:val="18"/>
                <w:szCs w:val="18"/>
              </w:rPr>
              <w:t>Frequency Range</w:t>
            </w:r>
          </w:p>
        </w:tc>
        <w:tc>
          <w:tcPr>
            <w:tcW w:w="969" w:type="dxa"/>
            <w:tcBorders>
              <w:top w:val="single" w:sz="6" w:space="0" w:color="000000"/>
              <w:left w:val="single" w:sz="6" w:space="0" w:color="000000"/>
              <w:bottom w:val="single" w:sz="6" w:space="0" w:color="000000"/>
              <w:right w:val="single" w:sz="6" w:space="0" w:color="000000"/>
            </w:tcBorders>
            <w:shd w:val="clear" w:color="auto" w:fill="D0D0D0"/>
            <w:tcMar>
              <w:top w:w="15" w:type="dxa"/>
              <w:left w:w="108" w:type="dxa"/>
              <w:bottom w:w="0" w:type="dxa"/>
              <w:right w:w="108" w:type="dxa"/>
            </w:tcMar>
            <w:vAlign w:val="center"/>
            <w:hideMark/>
          </w:tcPr>
          <w:p w14:paraId="00236798" w14:textId="77777777" w:rsidR="00A205DD" w:rsidRPr="00A205DD" w:rsidRDefault="00A205DD" w:rsidP="00041868">
            <w:pPr>
              <w:contextualSpacing/>
            </w:pPr>
            <w:r w:rsidRPr="00A205DD">
              <w:rPr>
                <w:rFonts w:ascii="Arial" w:hAnsi="Arial" w:cs="Arial"/>
                <w:b/>
                <w:bCs/>
                <w:color w:val="000000"/>
                <w:sz w:val="18"/>
                <w:szCs w:val="18"/>
              </w:rPr>
              <w:t>Scenario</w:t>
            </w:r>
          </w:p>
        </w:tc>
        <w:tc>
          <w:tcPr>
            <w:tcW w:w="969" w:type="dxa"/>
            <w:tcBorders>
              <w:top w:val="single" w:sz="6" w:space="0" w:color="000000"/>
              <w:left w:val="single" w:sz="6" w:space="0" w:color="000000"/>
              <w:bottom w:val="single" w:sz="6" w:space="0" w:color="000000"/>
              <w:right w:val="single" w:sz="6" w:space="0" w:color="000000"/>
            </w:tcBorders>
            <w:shd w:val="clear" w:color="auto" w:fill="D0D0D0"/>
            <w:tcMar>
              <w:top w:w="15" w:type="dxa"/>
              <w:left w:w="108" w:type="dxa"/>
              <w:bottom w:w="0" w:type="dxa"/>
              <w:right w:w="108" w:type="dxa"/>
            </w:tcMar>
            <w:vAlign w:val="center"/>
            <w:hideMark/>
          </w:tcPr>
          <w:p w14:paraId="6949E7DE" w14:textId="77777777" w:rsidR="00A205DD" w:rsidRPr="00A205DD" w:rsidRDefault="00A205DD" w:rsidP="00041868">
            <w:pPr>
              <w:contextualSpacing/>
            </w:pPr>
            <w:r w:rsidRPr="00A205DD">
              <w:rPr>
                <w:rFonts w:ascii="Arial" w:hAnsi="Arial" w:cs="Arial"/>
                <w:b/>
                <w:bCs/>
                <w:color w:val="000000"/>
                <w:sz w:val="18"/>
                <w:szCs w:val="18"/>
              </w:rPr>
              <w:t>Type 1</w:t>
            </w:r>
          </w:p>
          <w:p w14:paraId="53511716" w14:textId="77777777" w:rsidR="00A205DD" w:rsidRPr="00A205DD" w:rsidRDefault="00A205DD" w:rsidP="00041868">
            <w:pPr>
              <w:contextualSpacing/>
            </w:pPr>
            <w:r w:rsidRPr="00A205DD">
              <w:rPr>
                <w:rFonts w:ascii="Arial" w:hAnsi="Arial" w:cs="Arial"/>
                <w:b/>
                <w:bCs/>
                <w:color w:val="000000"/>
                <w:sz w:val="18"/>
                <w:szCs w:val="18"/>
              </w:rPr>
              <w:t>Delay (us)</w:t>
            </w:r>
          </w:p>
        </w:tc>
        <w:tc>
          <w:tcPr>
            <w:tcW w:w="969" w:type="dxa"/>
            <w:tcBorders>
              <w:top w:val="single" w:sz="6" w:space="0" w:color="000000"/>
              <w:left w:val="single" w:sz="6" w:space="0" w:color="000000"/>
              <w:bottom w:val="single" w:sz="6" w:space="0" w:color="000000"/>
              <w:right w:val="single" w:sz="6" w:space="0" w:color="000000"/>
            </w:tcBorders>
            <w:shd w:val="clear" w:color="auto" w:fill="D0D0D0"/>
            <w:tcMar>
              <w:top w:w="15" w:type="dxa"/>
              <w:left w:w="108" w:type="dxa"/>
              <w:bottom w:w="0" w:type="dxa"/>
              <w:right w:w="108" w:type="dxa"/>
            </w:tcMar>
            <w:vAlign w:val="center"/>
            <w:hideMark/>
          </w:tcPr>
          <w:p w14:paraId="68EF767D" w14:textId="77777777" w:rsidR="00A205DD" w:rsidRPr="00A205DD" w:rsidRDefault="00A205DD" w:rsidP="00041868">
            <w:pPr>
              <w:contextualSpacing/>
            </w:pPr>
            <w:r w:rsidRPr="00A205DD">
              <w:rPr>
                <w:rFonts w:ascii="Arial" w:hAnsi="Arial" w:cs="Arial"/>
                <w:b/>
                <w:bCs/>
                <w:color w:val="000000"/>
                <w:sz w:val="18"/>
                <w:szCs w:val="18"/>
              </w:rPr>
              <w:t>Type 2</w:t>
            </w:r>
          </w:p>
          <w:p w14:paraId="45A18EE6" w14:textId="77777777" w:rsidR="00A205DD" w:rsidRPr="00A205DD" w:rsidRDefault="00A205DD" w:rsidP="00041868">
            <w:pPr>
              <w:contextualSpacing/>
            </w:pPr>
            <w:r w:rsidRPr="00A205DD">
              <w:rPr>
                <w:rFonts w:ascii="Arial" w:hAnsi="Arial" w:cs="Arial"/>
                <w:b/>
                <w:bCs/>
                <w:color w:val="000000"/>
                <w:sz w:val="18"/>
                <w:szCs w:val="18"/>
              </w:rPr>
              <w:t>Delay (us)</w:t>
            </w:r>
          </w:p>
        </w:tc>
        <w:tc>
          <w:tcPr>
            <w:tcW w:w="1569" w:type="dxa"/>
            <w:tcBorders>
              <w:top w:val="single" w:sz="6" w:space="0" w:color="000000"/>
              <w:left w:val="single" w:sz="6" w:space="0" w:color="000000"/>
              <w:bottom w:val="single" w:sz="6" w:space="0" w:color="000000"/>
              <w:right w:val="single" w:sz="6" w:space="0" w:color="000000"/>
            </w:tcBorders>
            <w:shd w:val="clear" w:color="auto" w:fill="D0D0D0"/>
            <w:tcMar>
              <w:top w:w="15" w:type="dxa"/>
              <w:left w:w="108" w:type="dxa"/>
              <w:bottom w:w="0" w:type="dxa"/>
              <w:right w:w="108" w:type="dxa"/>
            </w:tcMar>
            <w:vAlign w:val="center"/>
            <w:hideMark/>
          </w:tcPr>
          <w:p w14:paraId="61F3E033" w14:textId="77777777" w:rsidR="00A205DD" w:rsidRPr="00A205DD" w:rsidRDefault="00A205DD" w:rsidP="00041868">
            <w:pPr>
              <w:contextualSpacing/>
            </w:pPr>
            <w:r w:rsidRPr="00A205DD">
              <w:rPr>
                <w:rFonts w:ascii="Arial" w:hAnsi="Arial" w:cs="Arial"/>
                <w:b/>
                <w:bCs/>
                <w:color w:val="000000"/>
                <w:sz w:val="18"/>
                <w:szCs w:val="18"/>
              </w:rPr>
              <w:t>Comment</w:t>
            </w:r>
          </w:p>
        </w:tc>
      </w:tr>
      <w:tr w:rsidR="00A205DD" w:rsidRPr="00A205DD" w14:paraId="60F97B25" w14:textId="77777777" w:rsidTr="0065410B">
        <w:trPr>
          <w:trHeight w:val="195"/>
          <w:jc w:val="center"/>
        </w:trPr>
        <w:tc>
          <w:tcPr>
            <w:tcW w:w="969" w:type="dxa"/>
            <w:vMerge w:val="restar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31E16AD" w14:textId="77777777" w:rsidR="00A205DD" w:rsidRPr="00A205DD" w:rsidRDefault="00A205DD" w:rsidP="00041868">
            <w:pPr>
              <w:contextualSpacing/>
            </w:pPr>
            <w:r w:rsidRPr="00A205DD">
              <w:rPr>
                <w:rFonts w:ascii="Arial" w:hAnsi="Arial" w:cs="Arial"/>
                <w:color w:val="000000"/>
                <w:sz w:val="18"/>
                <w:szCs w:val="18"/>
              </w:rPr>
              <w:t>1</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458951C" w14:textId="77777777" w:rsidR="00A205DD" w:rsidRPr="00A205DD" w:rsidRDefault="00A205DD" w:rsidP="00041868">
            <w:pPr>
              <w:contextualSpacing/>
            </w:pPr>
            <w:r w:rsidRPr="00A205DD">
              <w:rPr>
                <w:rFonts w:ascii="Arial" w:hAnsi="Arial" w:cs="Arial"/>
                <w:color w:val="000000"/>
                <w:sz w:val="18"/>
                <w:szCs w:val="18"/>
              </w:rPr>
              <w:t>1</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555D17BB" w14:textId="77777777" w:rsidR="00A205DD" w:rsidRPr="00A205DD" w:rsidRDefault="00A205DD" w:rsidP="00041868">
            <w:pPr>
              <w:contextualSpacing/>
            </w:pPr>
            <w:r w:rsidRPr="00A205DD">
              <w:rPr>
                <w:rFonts w:ascii="Arial" w:hAnsi="Arial" w:cs="Arial"/>
                <w:color w:val="000000"/>
                <w:sz w:val="18"/>
                <w:szCs w:val="18"/>
              </w:rPr>
              <w:t>600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F64427D" w14:textId="77777777" w:rsidR="00A205DD" w:rsidRPr="00A205DD" w:rsidRDefault="00A205DD" w:rsidP="00041868">
            <w:pPr>
              <w:contextualSpacing/>
            </w:pPr>
            <w:r w:rsidRPr="00A205DD">
              <w:rPr>
                <w:rFonts w:ascii="Arial" w:hAnsi="Arial" w:cs="Arial"/>
                <w:color w:val="000000"/>
                <w:sz w:val="18"/>
                <w:szCs w:val="18"/>
              </w:rPr>
              <w:t>2000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457A247" w14:textId="77777777" w:rsidR="00A205DD" w:rsidRPr="00A205DD" w:rsidRDefault="00A205DD" w:rsidP="00041868">
            <w:pPr>
              <w:contextualSpacing/>
              <w:rPr>
                <w:rFonts w:ascii="Helvetica" w:hAnsi="Helvetica"/>
                <w:sz w:val="18"/>
                <w:szCs w:val="18"/>
              </w:rPr>
            </w:pPr>
          </w:p>
        </w:tc>
      </w:tr>
      <w:tr w:rsidR="00A205DD" w:rsidRPr="00A205DD" w14:paraId="075C4330" w14:textId="77777777" w:rsidTr="0065410B">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F6364C" w14:textId="77777777" w:rsidR="00A205DD" w:rsidRPr="00A205DD" w:rsidRDefault="00A205DD" w:rsidP="00041868">
            <w:pPr>
              <w:contextualSpacing/>
            </w:pP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98DE51D" w14:textId="77777777" w:rsidR="00A205DD" w:rsidRPr="00A205DD" w:rsidRDefault="00A205DD" w:rsidP="00041868">
            <w:pPr>
              <w:contextualSpacing/>
            </w:pPr>
            <w:r w:rsidRPr="00A205DD">
              <w:rPr>
                <w:rFonts w:ascii="Arial" w:hAnsi="Arial" w:cs="Arial"/>
                <w:color w:val="000000"/>
                <w:sz w:val="18"/>
                <w:szCs w:val="18"/>
              </w:rPr>
              <w:t>2</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39B6BC4" w14:textId="77777777" w:rsidR="00A205DD" w:rsidRPr="00A205DD" w:rsidRDefault="00A205DD" w:rsidP="00041868">
            <w:pPr>
              <w:contextualSpacing/>
            </w:pPr>
            <w:r w:rsidRPr="00A205DD">
              <w:rPr>
                <w:rFonts w:ascii="Arial" w:hAnsi="Arial" w:cs="Arial"/>
                <w:color w:val="000000"/>
                <w:sz w:val="18"/>
                <w:szCs w:val="18"/>
              </w:rPr>
              <w:t>600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5C821D10" w14:textId="77777777" w:rsidR="00A205DD" w:rsidRPr="00A205DD" w:rsidRDefault="00A205DD" w:rsidP="00041868">
            <w:pPr>
              <w:contextualSpacing/>
            </w:pPr>
            <w:r w:rsidRPr="00A205DD">
              <w:rPr>
                <w:rFonts w:ascii="Arial" w:hAnsi="Arial" w:cs="Arial"/>
                <w:color w:val="000000"/>
                <w:sz w:val="18"/>
                <w:szCs w:val="18"/>
              </w:rPr>
              <w:t>2000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6A1C702" w14:textId="77777777" w:rsidR="00A205DD" w:rsidRPr="00A205DD" w:rsidRDefault="00A205DD" w:rsidP="00041868">
            <w:pPr>
              <w:contextualSpacing/>
              <w:rPr>
                <w:rFonts w:ascii="Helvetica" w:hAnsi="Helvetica"/>
                <w:sz w:val="18"/>
                <w:szCs w:val="18"/>
              </w:rPr>
            </w:pPr>
          </w:p>
        </w:tc>
      </w:tr>
      <w:tr w:rsidR="00A205DD" w:rsidRPr="00A205DD" w14:paraId="77E0F033" w14:textId="77777777" w:rsidTr="0065410B">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8A4966" w14:textId="77777777" w:rsidR="00A205DD" w:rsidRPr="00A205DD" w:rsidRDefault="00A205DD" w:rsidP="00041868">
            <w:pPr>
              <w:contextualSpacing/>
            </w:pP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92EBA67" w14:textId="77777777" w:rsidR="00A205DD" w:rsidRPr="00A205DD" w:rsidRDefault="00A205DD" w:rsidP="00041868">
            <w:pPr>
              <w:contextualSpacing/>
            </w:pPr>
            <w:r w:rsidRPr="00A205DD">
              <w:rPr>
                <w:rFonts w:ascii="Arial" w:hAnsi="Arial" w:cs="Arial"/>
                <w:color w:val="000000"/>
                <w:sz w:val="18"/>
                <w:szCs w:val="18"/>
              </w:rPr>
              <w:t>3</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0B1CE12" w14:textId="77777777" w:rsidR="00A205DD" w:rsidRPr="00A205DD" w:rsidRDefault="00A205DD" w:rsidP="00041868">
            <w:pPr>
              <w:contextualSpacing/>
            </w:pPr>
            <w:r w:rsidRPr="00A205DD">
              <w:rPr>
                <w:rFonts w:ascii="Arial" w:hAnsi="Arial" w:cs="Arial"/>
                <w:color w:val="000000"/>
                <w:sz w:val="18"/>
                <w:szCs w:val="18"/>
              </w:rPr>
              <w:t>600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03B5B68" w14:textId="77777777" w:rsidR="00A205DD" w:rsidRPr="00A205DD" w:rsidRDefault="00A205DD" w:rsidP="00041868">
            <w:pPr>
              <w:contextualSpacing/>
            </w:pPr>
            <w:r w:rsidRPr="00A205DD">
              <w:rPr>
                <w:rFonts w:ascii="Arial" w:hAnsi="Arial" w:cs="Arial"/>
                <w:color w:val="000000"/>
                <w:sz w:val="18"/>
                <w:szCs w:val="18"/>
              </w:rPr>
              <w:t>2000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02EA0F0" w14:textId="77777777" w:rsidR="00A205DD" w:rsidRPr="00A205DD" w:rsidRDefault="00A205DD" w:rsidP="00041868">
            <w:pPr>
              <w:contextualSpacing/>
              <w:rPr>
                <w:rFonts w:ascii="Helvetica" w:hAnsi="Helvetica"/>
                <w:sz w:val="18"/>
                <w:szCs w:val="18"/>
              </w:rPr>
            </w:pPr>
          </w:p>
        </w:tc>
      </w:tr>
      <w:tr w:rsidR="00A205DD" w:rsidRPr="00A205DD" w14:paraId="2DFFD79A" w14:textId="77777777" w:rsidTr="0065410B">
        <w:trPr>
          <w:trHeight w:val="75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6BCCA4" w14:textId="77777777" w:rsidR="00A205DD" w:rsidRPr="00A205DD" w:rsidRDefault="00A205DD" w:rsidP="00041868">
            <w:pPr>
              <w:contextualSpacing/>
            </w:pP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19669A6" w14:textId="77777777" w:rsidR="00A205DD" w:rsidRPr="00A205DD" w:rsidRDefault="00A205DD" w:rsidP="00041868">
            <w:pPr>
              <w:contextualSpacing/>
            </w:pPr>
            <w:r w:rsidRPr="00A205DD">
              <w:rPr>
                <w:rFonts w:ascii="Arial" w:hAnsi="Arial" w:cs="Arial"/>
                <w:color w:val="000000"/>
                <w:sz w:val="18"/>
                <w:szCs w:val="18"/>
              </w:rPr>
              <w:t>4</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25FD661" w14:textId="77777777" w:rsidR="00A205DD" w:rsidRPr="00A205DD" w:rsidRDefault="00A205DD" w:rsidP="00041868">
            <w:pPr>
              <w:contextualSpacing/>
            </w:pPr>
            <w:r w:rsidRPr="00A205DD">
              <w:rPr>
                <w:rFonts w:ascii="Arial" w:hAnsi="Arial" w:cs="Arial"/>
                <w:color w:val="000000"/>
                <w:sz w:val="18"/>
                <w:szCs w:val="18"/>
              </w:rPr>
              <w:t>400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1B00F3E" w14:textId="77777777" w:rsidR="00A205DD" w:rsidRPr="00A205DD" w:rsidRDefault="00A205DD" w:rsidP="00041868">
            <w:pPr>
              <w:contextualSpacing/>
            </w:pPr>
            <w:r w:rsidRPr="00A205DD">
              <w:rPr>
                <w:rFonts w:ascii="Arial" w:hAnsi="Arial" w:cs="Arial"/>
                <w:color w:val="000000"/>
                <w:sz w:val="18"/>
                <w:szCs w:val="18"/>
              </w:rPr>
              <w:t>950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A45ACB8" w14:textId="77777777" w:rsidR="00A205DD" w:rsidRPr="00A205DD" w:rsidRDefault="00A205DD" w:rsidP="00041868">
            <w:pPr>
              <w:contextualSpacing/>
            </w:pPr>
            <w:r w:rsidRPr="00A205DD">
              <w:rPr>
                <w:rFonts w:ascii="Arial" w:hAnsi="Arial" w:cs="Arial"/>
                <w:color w:val="000000"/>
                <w:sz w:val="18"/>
                <w:szCs w:val="18"/>
              </w:rPr>
              <w:t>No delay required from the RF perspective</w:t>
            </w:r>
          </w:p>
        </w:tc>
      </w:tr>
      <w:tr w:rsidR="00A205DD" w:rsidRPr="00A205DD" w14:paraId="4F4ECE1E" w14:textId="77777777" w:rsidTr="0065410B">
        <w:trPr>
          <w:trHeight w:val="210"/>
          <w:jc w:val="center"/>
        </w:trPr>
        <w:tc>
          <w:tcPr>
            <w:tcW w:w="969" w:type="dxa"/>
            <w:vMerge w:val="restart"/>
            <w:tcBorders>
              <w:top w:val="single" w:sz="6" w:space="0" w:color="000000"/>
              <w:left w:val="single" w:sz="6" w:space="0" w:color="000000"/>
              <w:bottom w:val="single" w:sz="6" w:space="0" w:color="353C41"/>
              <w:right w:val="single" w:sz="6" w:space="0" w:color="000000"/>
            </w:tcBorders>
            <w:tcMar>
              <w:top w:w="15" w:type="dxa"/>
              <w:left w:w="108" w:type="dxa"/>
              <w:bottom w:w="0" w:type="dxa"/>
              <w:right w:w="108" w:type="dxa"/>
            </w:tcMar>
            <w:vAlign w:val="center"/>
            <w:hideMark/>
          </w:tcPr>
          <w:p w14:paraId="4AFEF0BB" w14:textId="77777777" w:rsidR="00A205DD" w:rsidRPr="00A205DD" w:rsidRDefault="00A205DD" w:rsidP="00041868">
            <w:pPr>
              <w:contextualSpacing/>
            </w:pPr>
            <w:r w:rsidRPr="00A205DD">
              <w:rPr>
                <w:rFonts w:ascii="Arial" w:hAnsi="Arial" w:cs="Arial"/>
                <w:color w:val="000000"/>
                <w:sz w:val="18"/>
                <w:szCs w:val="18"/>
              </w:rPr>
              <w:t>2</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1662235" w14:textId="77777777" w:rsidR="00A205DD" w:rsidRPr="00A205DD" w:rsidRDefault="00A205DD" w:rsidP="00041868">
            <w:pPr>
              <w:contextualSpacing/>
            </w:pPr>
            <w:r w:rsidRPr="00A205DD">
              <w:rPr>
                <w:rFonts w:ascii="Arial" w:hAnsi="Arial" w:cs="Arial"/>
                <w:color w:val="000000"/>
                <w:sz w:val="18"/>
                <w:szCs w:val="18"/>
              </w:rPr>
              <w:t>1</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63B10CA" w14:textId="77777777" w:rsidR="00A205DD" w:rsidRPr="00A205DD" w:rsidRDefault="00A205DD" w:rsidP="00041868">
            <w:pPr>
              <w:contextualSpacing/>
            </w:pPr>
            <w:r w:rsidRPr="00A205DD">
              <w:rPr>
                <w:rFonts w:ascii="Arial" w:hAnsi="Arial" w:cs="Arial"/>
                <w:color w:val="000000"/>
                <w:sz w:val="18"/>
                <w:szCs w:val="18"/>
              </w:rPr>
              <w:t>600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2FFDE71" w14:textId="77777777" w:rsidR="00A205DD" w:rsidRPr="00A205DD" w:rsidRDefault="00A205DD" w:rsidP="00041868">
            <w:pPr>
              <w:contextualSpacing/>
            </w:pPr>
            <w:r w:rsidRPr="00A205DD">
              <w:rPr>
                <w:rFonts w:ascii="Arial" w:hAnsi="Arial" w:cs="Arial"/>
                <w:color w:val="000000"/>
                <w:sz w:val="18"/>
                <w:szCs w:val="18"/>
              </w:rPr>
              <w:t>2000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D054C58" w14:textId="77777777" w:rsidR="00A205DD" w:rsidRPr="00A205DD" w:rsidRDefault="00A205DD" w:rsidP="00041868">
            <w:pPr>
              <w:contextualSpacing/>
              <w:rPr>
                <w:rFonts w:ascii="Helvetica" w:hAnsi="Helvetica"/>
                <w:sz w:val="18"/>
                <w:szCs w:val="18"/>
              </w:rPr>
            </w:pPr>
          </w:p>
        </w:tc>
      </w:tr>
      <w:tr w:rsidR="00A205DD" w:rsidRPr="00A205DD" w14:paraId="5BC67F8A" w14:textId="77777777" w:rsidTr="0065410B">
        <w:trPr>
          <w:trHeight w:val="195"/>
          <w:jc w:val="center"/>
        </w:trPr>
        <w:tc>
          <w:tcPr>
            <w:tcW w:w="0" w:type="auto"/>
            <w:vMerge/>
            <w:tcBorders>
              <w:top w:val="single" w:sz="6" w:space="0" w:color="000000"/>
              <w:left w:val="single" w:sz="6" w:space="0" w:color="000000"/>
              <w:bottom w:val="single" w:sz="6" w:space="0" w:color="353C41"/>
              <w:right w:val="single" w:sz="6" w:space="0" w:color="000000"/>
            </w:tcBorders>
            <w:vAlign w:val="center"/>
            <w:hideMark/>
          </w:tcPr>
          <w:p w14:paraId="1D46425F" w14:textId="77777777" w:rsidR="00A205DD" w:rsidRPr="00A205DD" w:rsidRDefault="00A205DD" w:rsidP="00041868">
            <w:pPr>
              <w:contextualSpacing/>
            </w:pP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B6CF873" w14:textId="77777777" w:rsidR="00A205DD" w:rsidRPr="00A205DD" w:rsidRDefault="00A205DD" w:rsidP="00041868">
            <w:pPr>
              <w:contextualSpacing/>
            </w:pPr>
            <w:r w:rsidRPr="00A205DD">
              <w:rPr>
                <w:rFonts w:ascii="Arial" w:hAnsi="Arial" w:cs="Arial"/>
                <w:color w:val="000000"/>
                <w:sz w:val="18"/>
                <w:szCs w:val="18"/>
              </w:rPr>
              <w:t>2</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E8427A0" w14:textId="77777777" w:rsidR="00A205DD" w:rsidRPr="00A205DD" w:rsidRDefault="00A205DD" w:rsidP="00041868">
            <w:pPr>
              <w:contextualSpacing/>
            </w:pPr>
            <w:r w:rsidRPr="00A205DD">
              <w:rPr>
                <w:rFonts w:ascii="Arial" w:hAnsi="Arial" w:cs="Arial"/>
                <w:color w:val="000000"/>
                <w:sz w:val="18"/>
                <w:szCs w:val="18"/>
              </w:rPr>
              <w:t>600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EF0E26A" w14:textId="77777777" w:rsidR="00A205DD" w:rsidRPr="00A205DD" w:rsidRDefault="00A205DD" w:rsidP="00041868">
            <w:pPr>
              <w:contextualSpacing/>
            </w:pPr>
            <w:r w:rsidRPr="00A205DD">
              <w:rPr>
                <w:rFonts w:ascii="Arial" w:hAnsi="Arial" w:cs="Arial"/>
                <w:color w:val="000000"/>
                <w:sz w:val="18"/>
                <w:szCs w:val="18"/>
              </w:rPr>
              <w:t>2000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A2AECAC" w14:textId="77777777" w:rsidR="00A205DD" w:rsidRPr="00A205DD" w:rsidRDefault="00A205DD" w:rsidP="00041868">
            <w:pPr>
              <w:contextualSpacing/>
              <w:rPr>
                <w:rFonts w:ascii="Helvetica" w:hAnsi="Helvetica"/>
                <w:sz w:val="18"/>
                <w:szCs w:val="18"/>
              </w:rPr>
            </w:pPr>
          </w:p>
        </w:tc>
      </w:tr>
      <w:tr w:rsidR="00A205DD" w:rsidRPr="00A205DD" w14:paraId="28D387DB" w14:textId="77777777" w:rsidTr="0065410B">
        <w:trPr>
          <w:trHeight w:val="210"/>
          <w:jc w:val="center"/>
        </w:trPr>
        <w:tc>
          <w:tcPr>
            <w:tcW w:w="0" w:type="auto"/>
            <w:vMerge/>
            <w:tcBorders>
              <w:top w:val="single" w:sz="6" w:space="0" w:color="000000"/>
              <w:left w:val="single" w:sz="6" w:space="0" w:color="000000"/>
              <w:bottom w:val="single" w:sz="6" w:space="0" w:color="353C41"/>
              <w:right w:val="single" w:sz="6" w:space="0" w:color="000000"/>
            </w:tcBorders>
            <w:vAlign w:val="center"/>
            <w:hideMark/>
          </w:tcPr>
          <w:p w14:paraId="6917B11D" w14:textId="77777777" w:rsidR="00A205DD" w:rsidRPr="00A205DD" w:rsidRDefault="00A205DD" w:rsidP="00041868">
            <w:pPr>
              <w:contextualSpacing/>
            </w:pP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CF29986" w14:textId="77777777" w:rsidR="00A205DD" w:rsidRPr="00A205DD" w:rsidRDefault="00A205DD" w:rsidP="00041868">
            <w:pPr>
              <w:contextualSpacing/>
            </w:pPr>
            <w:r w:rsidRPr="00A205DD">
              <w:rPr>
                <w:rFonts w:ascii="Arial" w:hAnsi="Arial" w:cs="Arial"/>
                <w:color w:val="000000"/>
                <w:sz w:val="18"/>
                <w:szCs w:val="18"/>
              </w:rPr>
              <w:t>3</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1F88A6A" w14:textId="77777777" w:rsidR="00A205DD" w:rsidRPr="00A205DD" w:rsidRDefault="00A205DD" w:rsidP="00041868">
            <w:pPr>
              <w:contextualSpacing/>
            </w:pPr>
            <w:r w:rsidRPr="00A205DD">
              <w:rPr>
                <w:rFonts w:ascii="Arial" w:hAnsi="Arial" w:cs="Arial"/>
                <w:color w:val="000000"/>
                <w:sz w:val="18"/>
                <w:szCs w:val="18"/>
              </w:rPr>
              <w:t>600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6E2CB18" w14:textId="77777777" w:rsidR="00A205DD" w:rsidRPr="00A205DD" w:rsidRDefault="00A205DD" w:rsidP="00041868">
            <w:pPr>
              <w:contextualSpacing/>
            </w:pPr>
            <w:r w:rsidRPr="00A205DD">
              <w:rPr>
                <w:rFonts w:ascii="Arial" w:hAnsi="Arial" w:cs="Arial"/>
                <w:color w:val="000000"/>
                <w:sz w:val="18"/>
                <w:szCs w:val="18"/>
              </w:rPr>
              <w:t>2000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5960F3E" w14:textId="77777777" w:rsidR="00A205DD" w:rsidRPr="00A205DD" w:rsidRDefault="00A205DD" w:rsidP="00041868">
            <w:pPr>
              <w:contextualSpacing/>
              <w:rPr>
                <w:rFonts w:ascii="Helvetica" w:hAnsi="Helvetica"/>
                <w:sz w:val="18"/>
                <w:szCs w:val="18"/>
              </w:rPr>
            </w:pPr>
          </w:p>
        </w:tc>
      </w:tr>
      <w:tr w:rsidR="00A205DD" w:rsidRPr="00A205DD" w14:paraId="4D02005B" w14:textId="77777777" w:rsidTr="0065410B">
        <w:trPr>
          <w:trHeight w:val="735"/>
          <w:jc w:val="center"/>
        </w:trPr>
        <w:tc>
          <w:tcPr>
            <w:tcW w:w="0" w:type="auto"/>
            <w:vMerge/>
            <w:tcBorders>
              <w:top w:val="single" w:sz="6" w:space="0" w:color="000000"/>
              <w:left w:val="single" w:sz="6" w:space="0" w:color="000000"/>
              <w:bottom w:val="single" w:sz="6" w:space="0" w:color="353C41"/>
              <w:right w:val="single" w:sz="6" w:space="0" w:color="000000"/>
            </w:tcBorders>
            <w:vAlign w:val="center"/>
            <w:hideMark/>
          </w:tcPr>
          <w:p w14:paraId="560F973A" w14:textId="77777777" w:rsidR="00A205DD" w:rsidRPr="00A205DD" w:rsidRDefault="00A205DD" w:rsidP="00041868">
            <w:pPr>
              <w:contextualSpacing/>
            </w:pP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F296E87" w14:textId="77777777" w:rsidR="00A205DD" w:rsidRPr="00A205DD" w:rsidRDefault="00A205DD" w:rsidP="00041868">
            <w:pPr>
              <w:contextualSpacing/>
            </w:pPr>
            <w:r w:rsidRPr="00A205DD">
              <w:rPr>
                <w:rFonts w:ascii="Arial" w:hAnsi="Arial" w:cs="Arial"/>
                <w:color w:val="000000"/>
                <w:sz w:val="18"/>
                <w:szCs w:val="18"/>
              </w:rPr>
              <w:t>4</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381FE71" w14:textId="77777777" w:rsidR="00A205DD" w:rsidRPr="00A205DD" w:rsidRDefault="00A205DD" w:rsidP="00041868">
            <w:pPr>
              <w:contextualSpacing/>
            </w:pPr>
            <w:r w:rsidRPr="00A205DD">
              <w:rPr>
                <w:rFonts w:ascii="Arial" w:hAnsi="Arial" w:cs="Arial"/>
                <w:color w:val="000000"/>
                <w:sz w:val="18"/>
                <w:szCs w:val="18"/>
              </w:rPr>
              <w:t>400</w:t>
            </w:r>
          </w:p>
        </w:tc>
        <w:tc>
          <w:tcPr>
            <w:tcW w:w="9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D0B273F" w14:textId="77777777" w:rsidR="00A205DD" w:rsidRPr="00A205DD" w:rsidRDefault="00A205DD" w:rsidP="00041868">
            <w:pPr>
              <w:contextualSpacing/>
            </w:pPr>
            <w:r w:rsidRPr="00A205DD">
              <w:rPr>
                <w:rFonts w:ascii="Arial" w:hAnsi="Arial" w:cs="Arial"/>
                <w:color w:val="000000"/>
                <w:sz w:val="18"/>
                <w:szCs w:val="18"/>
              </w:rPr>
              <w:t>950</w:t>
            </w:r>
          </w:p>
        </w:tc>
        <w:tc>
          <w:tcPr>
            <w:tcW w:w="156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FED4877" w14:textId="77777777" w:rsidR="00A205DD" w:rsidRPr="00A205DD" w:rsidRDefault="00A205DD" w:rsidP="00041868">
            <w:pPr>
              <w:contextualSpacing/>
            </w:pPr>
            <w:r w:rsidRPr="00A205DD">
              <w:rPr>
                <w:rFonts w:ascii="Arial" w:hAnsi="Arial" w:cs="Arial"/>
                <w:color w:val="000000"/>
                <w:sz w:val="18"/>
                <w:szCs w:val="18"/>
              </w:rPr>
              <w:t>No delay required from the RF perspective</w:t>
            </w:r>
          </w:p>
        </w:tc>
      </w:tr>
    </w:tbl>
    <w:p w14:paraId="0D0252FD" w14:textId="77777777" w:rsidR="00A205DD" w:rsidRPr="00A205DD" w:rsidRDefault="00A205DD" w:rsidP="004E3D44"/>
    <w:p w14:paraId="4880D4F7" w14:textId="1987ADC8" w:rsidR="006E7AE7" w:rsidRDefault="0000658A" w:rsidP="004E3D44">
      <w:r>
        <w:t xml:space="preserve">The relevant RAN1 agreements on BWP switching </w:t>
      </w:r>
      <w:r w:rsidR="00B36C4A">
        <w:t xml:space="preserve">are </w:t>
      </w:r>
      <w:r w:rsidR="00B36C4A">
        <w:fldChar w:fldCharType="begin"/>
      </w:r>
      <w:r w:rsidR="00B36C4A">
        <w:instrText xml:space="preserve"> REF _Ref20905193 \r \h </w:instrText>
      </w:r>
      <w:r w:rsidR="00B36C4A">
        <w:fldChar w:fldCharType="separate"/>
      </w:r>
      <w:r w:rsidR="005F134F">
        <w:t>[10]</w:t>
      </w:r>
      <w:r w:rsidR="00B36C4A">
        <w:fldChar w:fldCharType="end"/>
      </w:r>
      <w:r w:rsidR="00B36C4A">
        <w:t>:</w:t>
      </w:r>
    </w:p>
    <w:p w14:paraId="6CE59F9E" w14:textId="77777777" w:rsidR="00DF3F59" w:rsidRDefault="00DF3F59" w:rsidP="004E3D44"/>
    <w:p w14:paraId="3BBA773F" w14:textId="546301DA" w:rsidR="00B36C4A" w:rsidRPr="00B36C4A" w:rsidRDefault="00B36C4A" w:rsidP="00B36C4A">
      <w:pPr>
        <w:pStyle w:val="B1"/>
        <w:pBdr>
          <w:top w:val="single" w:sz="4" w:space="1" w:color="auto"/>
          <w:left w:val="single" w:sz="4" w:space="4" w:color="auto"/>
          <w:bottom w:val="single" w:sz="4" w:space="1" w:color="auto"/>
          <w:right w:val="single" w:sz="4" w:space="4" w:color="auto"/>
        </w:pBdr>
        <w:rPr>
          <w:sz w:val="16"/>
          <w:szCs w:val="16"/>
        </w:rPr>
      </w:pPr>
      <w:r w:rsidRPr="00B36C4A">
        <w:rPr>
          <w:sz w:val="16"/>
          <w:szCs w:val="16"/>
        </w:rPr>
        <w:t>A UE is not expected to receive DL signals or transmit UL signals during the transition time of active DL or UL BWP switch</w:t>
      </w:r>
    </w:p>
    <w:p w14:paraId="7B7D77A3" w14:textId="77777777" w:rsidR="00B36C4A" w:rsidRPr="00B36C4A" w:rsidRDefault="00B36C4A" w:rsidP="00B36C4A">
      <w:pPr>
        <w:pStyle w:val="B1"/>
        <w:pBdr>
          <w:top w:val="single" w:sz="4" w:space="1" w:color="auto"/>
          <w:left w:val="single" w:sz="4" w:space="4" w:color="auto"/>
          <w:bottom w:val="single" w:sz="4" w:space="1" w:color="auto"/>
          <w:right w:val="single" w:sz="4" w:space="4" w:color="auto"/>
        </w:pBdr>
        <w:rPr>
          <w:sz w:val="16"/>
          <w:szCs w:val="16"/>
        </w:rPr>
      </w:pPr>
      <w:r w:rsidRPr="00B36C4A">
        <w:rPr>
          <w:sz w:val="16"/>
          <w:szCs w:val="16"/>
        </w:rPr>
        <w:t>o</w:t>
      </w:r>
      <w:r w:rsidRPr="00B36C4A">
        <w:rPr>
          <w:sz w:val="16"/>
          <w:szCs w:val="16"/>
        </w:rPr>
        <w:tab/>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020DDEA0" w14:textId="17639A8F" w:rsidR="00B36C4A" w:rsidRPr="004169CB" w:rsidRDefault="00B36C4A" w:rsidP="00B36C4A">
      <w:pPr>
        <w:pStyle w:val="B1"/>
        <w:pBdr>
          <w:top w:val="single" w:sz="4" w:space="1" w:color="auto"/>
          <w:left w:val="single" w:sz="4" w:space="4" w:color="auto"/>
          <w:bottom w:val="single" w:sz="4" w:space="1" w:color="auto"/>
          <w:right w:val="single" w:sz="4" w:space="4" w:color="auto"/>
        </w:pBdr>
        <w:rPr>
          <w:sz w:val="16"/>
          <w:szCs w:val="16"/>
        </w:rPr>
      </w:pPr>
      <w:r w:rsidRPr="00B36C4A">
        <w:rPr>
          <w:sz w:val="16"/>
          <w:szCs w:val="16"/>
        </w:rPr>
        <w:t>o</w:t>
      </w:r>
      <w:r w:rsidRPr="00B36C4A">
        <w:rPr>
          <w:sz w:val="16"/>
          <w:szCs w:val="16"/>
        </w:rPr>
        <w:tab/>
        <w:t>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DL signals or transmit UL signals in the default DL BWP for paired spectrum or the default DL or UL BWP for unpaired spectrum</w:t>
      </w:r>
    </w:p>
    <w:p w14:paraId="7C50679C" w14:textId="1A0967A1" w:rsidR="0000658A" w:rsidRDefault="00041868" w:rsidP="004E3D44">
      <w:r>
        <w:t xml:space="preserve">These agreements have subsequently been captured in Clause 12 of TS38.213 </w:t>
      </w:r>
      <w:r>
        <w:fldChar w:fldCharType="begin"/>
      </w:r>
      <w:r>
        <w:instrText xml:space="preserve"> REF _Ref20905642 \r \h </w:instrText>
      </w:r>
      <w:r>
        <w:fldChar w:fldCharType="separate"/>
      </w:r>
      <w:r w:rsidR="005F134F">
        <w:t>[11]</w:t>
      </w:r>
      <w:r>
        <w:fldChar w:fldCharType="end"/>
      </w:r>
      <w:r>
        <w:t>.</w:t>
      </w:r>
    </w:p>
    <w:p w14:paraId="2CE1B65B" w14:textId="299963AE" w:rsidR="00041868" w:rsidRDefault="00041868" w:rsidP="004E3D44">
      <w:r>
        <w:t xml:space="preserve">The RAN4 RRM specification has </w:t>
      </w:r>
      <w:r w:rsidR="00F70E65">
        <w:t xml:space="preserve">defined the BWP switch requirement in Clause 8.6 of TS38.133 as follows </w:t>
      </w:r>
      <w:r w:rsidR="00F70E65">
        <w:fldChar w:fldCharType="begin"/>
      </w:r>
      <w:r w:rsidR="00F70E65">
        <w:instrText xml:space="preserve"> REF _Ref20905883 \r \h </w:instrText>
      </w:r>
      <w:r w:rsidR="00F70E65">
        <w:fldChar w:fldCharType="separate"/>
      </w:r>
      <w:r w:rsidR="005F134F">
        <w:t>[12]</w:t>
      </w:r>
      <w:r w:rsidR="00F70E65">
        <w:fldChar w:fldCharType="end"/>
      </w:r>
      <w:r w:rsidR="00F70E65">
        <w:t>:</w:t>
      </w:r>
    </w:p>
    <w:p w14:paraId="5378FEFF" w14:textId="03232131" w:rsidR="00F70E65" w:rsidRDefault="00F70E65" w:rsidP="00F70E65">
      <w:pPr>
        <w:pStyle w:val="TH"/>
      </w:pPr>
      <w:r w:rsidRPr="004D3578">
        <w:t xml:space="preserve">Table 1: </w:t>
      </w:r>
      <w:r>
        <w:t xml:space="preserve">BWP switch delay </w:t>
      </w:r>
      <w:r>
        <w:fldChar w:fldCharType="begin"/>
      </w:r>
      <w:r>
        <w:instrText xml:space="preserve"> REF _Ref20905883 \r \h </w:instrText>
      </w:r>
      <w:r>
        <w:fldChar w:fldCharType="separate"/>
      </w:r>
      <w:r w:rsidR="005F134F">
        <w:t>[12]</w:t>
      </w:r>
      <w:r>
        <w:fldChar w:fldCharType="end"/>
      </w:r>
    </w:p>
    <w:tbl>
      <w:tblPr>
        <w:tblW w:w="0" w:type="auto"/>
        <w:jc w:val="center"/>
        <w:tblCellMar>
          <w:left w:w="0" w:type="dxa"/>
          <w:right w:w="0" w:type="dxa"/>
        </w:tblCellMar>
        <w:tblLook w:val="04A0" w:firstRow="1" w:lastRow="0" w:firstColumn="1" w:lastColumn="0" w:noHBand="0" w:noVBand="1"/>
      </w:tblPr>
      <w:tblGrid>
        <w:gridCol w:w="1035"/>
        <w:gridCol w:w="1035"/>
        <w:gridCol w:w="1635"/>
        <w:gridCol w:w="2130"/>
      </w:tblGrid>
      <w:tr w:rsidR="00F70E65" w:rsidRPr="00F70E65" w14:paraId="69752AD5" w14:textId="77777777" w:rsidTr="00F70E65">
        <w:trPr>
          <w:trHeight w:val="210"/>
          <w:jc w:val="center"/>
        </w:trPr>
        <w:tc>
          <w:tcPr>
            <w:tcW w:w="1035"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61B8459" w14:textId="77777777" w:rsidR="00F70E65" w:rsidRPr="00F70E65" w:rsidRDefault="00F70E65" w:rsidP="00F70E65">
            <w:pPr>
              <w:jc w:val="center"/>
            </w:pPr>
            <w:r w:rsidRPr="00F70E65">
              <w:rPr>
                <w:rFonts w:ascii="Helvetica Neue" w:hAnsi="Helvetica Neue"/>
                <w:b/>
                <w:bCs/>
                <w:color w:val="000000"/>
                <w:sz w:val="18"/>
                <w:szCs w:val="18"/>
              </w:rPr>
              <w:t>μ</w:t>
            </w:r>
          </w:p>
        </w:tc>
        <w:tc>
          <w:tcPr>
            <w:tcW w:w="1035"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8B11005" w14:textId="77777777" w:rsidR="00F70E65" w:rsidRPr="00F70E65" w:rsidRDefault="00F70E65" w:rsidP="00F70E65">
            <w:pPr>
              <w:jc w:val="center"/>
            </w:pPr>
            <w:r w:rsidRPr="00F70E65">
              <w:rPr>
                <w:rFonts w:ascii="Helvetica Neue" w:hAnsi="Helvetica Neue"/>
                <w:b/>
                <w:bCs/>
                <w:color w:val="000000"/>
                <w:sz w:val="18"/>
                <w:szCs w:val="18"/>
              </w:rPr>
              <w:t>NR Slot length (ms)</w:t>
            </w:r>
          </w:p>
        </w:tc>
        <w:tc>
          <w:tcPr>
            <w:tcW w:w="3435"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BC04073" w14:textId="77777777" w:rsidR="00F70E65" w:rsidRPr="00F70E65" w:rsidRDefault="00F70E65" w:rsidP="00F70E65">
            <w:pPr>
              <w:jc w:val="center"/>
            </w:pPr>
            <w:r w:rsidRPr="00F70E65">
              <w:rPr>
                <w:rFonts w:ascii="Helvetica Neue" w:hAnsi="Helvetica Neue"/>
                <w:b/>
                <w:bCs/>
                <w:color w:val="000000"/>
                <w:sz w:val="18"/>
                <w:szCs w:val="18"/>
              </w:rPr>
              <w:t>BWP switch delay T</w:t>
            </w:r>
            <w:r w:rsidRPr="00F70E65">
              <w:rPr>
                <w:rFonts w:ascii="Helvetica Neue" w:hAnsi="Helvetica Neue"/>
                <w:b/>
                <w:bCs/>
                <w:color w:val="000000"/>
                <w:sz w:val="12"/>
                <w:szCs w:val="12"/>
                <w:vertAlign w:val="subscript"/>
              </w:rPr>
              <w:t>BWPswitchDelay</w:t>
            </w:r>
            <w:r w:rsidRPr="00F70E65">
              <w:rPr>
                <w:rFonts w:ascii="Helvetica Neue" w:hAnsi="Helvetica Neue"/>
                <w:b/>
                <w:bCs/>
                <w:color w:val="000000"/>
                <w:sz w:val="18"/>
                <w:szCs w:val="18"/>
              </w:rPr>
              <w:t xml:space="preserve"> (slots)</w:t>
            </w:r>
          </w:p>
        </w:tc>
      </w:tr>
      <w:tr w:rsidR="00F70E65" w:rsidRPr="00F70E65" w14:paraId="7D2904B2" w14:textId="77777777" w:rsidTr="00F70E65">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F909EA" w14:textId="77777777" w:rsidR="00F70E65" w:rsidRPr="00F70E65" w:rsidRDefault="00F70E65" w:rsidP="00F70E65"/>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FE3C5C" w14:textId="77777777" w:rsidR="00F70E65" w:rsidRPr="00F70E65" w:rsidRDefault="00F70E65" w:rsidP="00F70E65"/>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E5E73E8" w14:textId="77777777" w:rsidR="00F70E65" w:rsidRPr="00F70E65" w:rsidRDefault="00F70E65" w:rsidP="00F70E65">
            <w:pPr>
              <w:jc w:val="center"/>
            </w:pPr>
            <w:r w:rsidRPr="00F70E65">
              <w:rPr>
                <w:rFonts w:ascii="Helvetica Neue" w:hAnsi="Helvetica Neue"/>
                <w:b/>
                <w:bCs/>
                <w:color w:val="000000"/>
                <w:sz w:val="18"/>
                <w:szCs w:val="18"/>
              </w:rPr>
              <w:t>Type 1</w:t>
            </w:r>
            <w:r w:rsidRPr="00F70E65">
              <w:rPr>
                <w:rFonts w:ascii="Helvetica Neue" w:hAnsi="Helvetica Neue"/>
                <w:b/>
                <w:bCs/>
                <w:color w:val="000000"/>
                <w:sz w:val="12"/>
                <w:szCs w:val="12"/>
                <w:vertAlign w:val="superscript"/>
              </w:rPr>
              <w:t>Note 1</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89166FE" w14:textId="77777777" w:rsidR="00F70E65" w:rsidRPr="00F70E65" w:rsidRDefault="00F70E65" w:rsidP="00F70E65">
            <w:pPr>
              <w:jc w:val="center"/>
            </w:pPr>
            <w:r w:rsidRPr="00F70E65">
              <w:rPr>
                <w:rFonts w:ascii="Helvetica Neue" w:hAnsi="Helvetica Neue"/>
                <w:b/>
                <w:bCs/>
                <w:color w:val="000000"/>
                <w:sz w:val="18"/>
                <w:szCs w:val="18"/>
              </w:rPr>
              <w:t>Type 2</w:t>
            </w:r>
            <w:r w:rsidRPr="00F70E65">
              <w:rPr>
                <w:rFonts w:ascii="Helvetica Neue" w:hAnsi="Helvetica Neue"/>
                <w:b/>
                <w:bCs/>
                <w:color w:val="000000"/>
                <w:sz w:val="12"/>
                <w:szCs w:val="12"/>
                <w:vertAlign w:val="superscript"/>
              </w:rPr>
              <w:t>Note 1</w:t>
            </w:r>
          </w:p>
        </w:tc>
      </w:tr>
      <w:tr w:rsidR="00F70E65" w:rsidRPr="00F70E65" w14:paraId="603E03B4" w14:textId="77777777" w:rsidTr="00F70E65">
        <w:trPr>
          <w:trHeight w:val="195"/>
          <w:jc w:val="center"/>
        </w:trPr>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9A62C8F" w14:textId="77777777" w:rsidR="00F70E65" w:rsidRPr="00F70E65" w:rsidRDefault="00F70E65" w:rsidP="00F70E65">
            <w:r w:rsidRPr="00F70E65">
              <w:rPr>
                <w:rFonts w:ascii="Helvetica Neue" w:hAnsi="Helvetica Neue"/>
                <w:color w:val="000000"/>
                <w:sz w:val="18"/>
                <w:szCs w:val="18"/>
              </w:rPr>
              <w:t>0</w:t>
            </w:r>
          </w:p>
        </w:tc>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7082238" w14:textId="77777777" w:rsidR="00F70E65" w:rsidRPr="00F70E65" w:rsidRDefault="00F70E65" w:rsidP="00F70E65">
            <w:r w:rsidRPr="00F70E65">
              <w:rPr>
                <w:rFonts w:ascii="Helvetica Neue" w:hAnsi="Helvetica Neue"/>
                <w:color w:val="000000"/>
                <w:sz w:val="18"/>
                <w:szCs w:val="18"/>
              </w:rPr>
              <w:t>1</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E15A7FE" w14:textId="77777777" w:rsidR="00F70E65" w:rsidRPr="00F70E65" w:rsidRDefault="00F70E65" w:rsidP="00F70E65">
            <w:r w:rsidRPr="00F70E65">
              <w:rPr>
                <w:rFonts w:ascii="Helvetica Neue" w:hAnsi="Helvetica Neue"/>
                <w:color w:val="000000"/>
                <w:sz w:val="18"/>
                <w:szCs w:val="18"/>
              </w:rPr>
              <w:t>1</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FDA9975" w14:textId="77777777" w:rsidR="00F70E65" w:rsidRPr="00F70E65" w:rsidRDefault="00F70E65" w:rsidP="00F70E65">
            <w:r w:rsidRPr="00F70E65">
              <w:rPr>
                <w:rFonts w:ascii="Helvetica Neue" w:hAnsi="Helvetica Neue"/>
                <w:color w:val="000000"/>
                <w:sz w:val="18"/>
                <w:szCs w:val="18"/>
              </w:rPr>
              <w:t>3</w:t>
            </w:r>
          </w:p>
        </w:tc>
      </w:tr>
      <w:tr w:rsidR="00F70E65" w:rsidRPr="00F70E65" w14:paraId="181A90E9" w14:textId="77777777" w:rsidTr="00F70E65">
        <w:trPr>
          <w:trHeight w:val="210"/>
          <w:jc w:val="center"/>
        </w:trPr>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621074D" w14:textId="77777777" w:rsidR="00F70E65" w:rsidRPr="00F70E65" w:rsidRDefault="00F70E65" w:rsidP="00F70E65">
            <w:r w:rsidRPr="00F70E65">
              <w:rPr>
                <w:rFonts w:ascii="Helvetica Neue" w:hAnsi="Helvetica Neue"/>
                <w:color w:val="000000"/>
                <w:sz w:val="18"/>
                <w:szCs w:val="18"/>
              </w:rPr>
              <w:t>1</w:t>
            </w:r>
          </w:p>
        </w:tc>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C21F8EC" w14:textId="77777777" w:rsidR="00F70E65" w:rsidRPr="00F70E65" w:rsidRDefault="00F70E65" w:rsidP="00F70E65">
            <w:r w:rsidRPr="00F70E65">
              <w:rPr>
                <w:rFonts w:ascii="Helvetica Neue" w:hAnsi="Helvetica Neue"/>
                <w:color w:val="000000"/>
                <w:sz w:val="18"/>
                <w:szCs w:val="18"/>
              </w:rPr>
              <w:t>0.5</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E5781C7" w14:textId="77777777" w:rsidR="00F70E65" w:rsidRPr="00F70E65" w:rsidRDefault="00F70E65" w:rsidP="00F70E65">
            <w:r w:rsidRPr="00F70E65">
              <w:rPr>
                <w:rFonts w:ascii="Helvetica Neue" w:hAnsi="Helvetica Neue"/>
                <w:color w:val="000000"/>
                <w:sz w:val="18"/>
                <w:szCs w:val="18"/>
              </w:rPr>
              <w:t>2</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E1A7580" w14:textId="77777777" w:rsidR="00F70E65" w:rsidRPr="00F70E65" w:rsidRDefault="00F70E65" w:rsidP="00F70E65">
            <w:r w:rsidRPr="00F70E65">
              <w:rPr>
                <w:rFonts w:ascii="Helvetica Neue" w:hAnsi="Helvetica Neue"/>
                <w:color w:val="000000"/>
                <w:sz w:val="18"/>
                <w:szCs w:val="18"/>
              </w:rPr>
              <w:t>5</w:t>
            </w:r>
          </w:p>
        </w:tc>
      </w:tr>
      <w:tr w:rsidR="00F70E65" w:rsidRPr="00F70E65" w14:paraId="2B43641A" w14:textId="77777777" w:rsidTr="00F70E65">
        <w:trPr>
          <w:trHeight w:val="195"/>
          <w:jc w:val="center"/>
        </w:trPr>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E35F337" w14:textId="77777777" w:rsidR="00F70E65" w:rsidRPr="00F70E65" w:rsidRDefault="00F70E65" w:rsidP="00F70E65">
            <w:r w:rsidRPr="00F70E65">
              <w:rPr>
                <w:rFonts w:ascii="Helvetica Neue" w:hAnsi="Helvetica Neue"/>
                <w:color w:val="000000"/>
                <w:sz w:val="18"/>
                <w:szCs w:val="18"/>
              </w:rPr>
              <w:t>2</w:t>
            </w:r>
          </w:p>
        </w:tc>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6C06425" w14:textId="77777777" w:rsidR="00F70E65" w:rsidRPr="00F70E65" w:rsidRDefault="00F70E65" w:rsidP="00F70E65">
            <w:r w:rsidRPr="00F70E65">
              <w:rPr>
                <w:rFonts w:ascii="Helvetica Neue" w:hAnsi="Helvetica Neue"/>
                <w:color w:val="000000"/>
                <w:sz w:val="18"/>
                <w:szCs w:val="18"/>
              </w:rPr>
              <w:t>0.25</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DCE86C8" w14:textId="77777777" w:rsidR="00F70E65" w:rsidRPr="00F70E65" w:rsidRDefault="00F70E65" w:rsidP="00F70E65">
            <w:r w:rsidRPr="00F70E65">
              <w:rPr>
                <w:rFonts w:ascii="Helvetica Neue" w:hAnsi="Helvetica Neue"/>
                <w:color w:val="000000"/>
                <w:sz w:val="18"/>
                <w:szCs w:val="18"/>
              </w:rPr>
              <w:t>3</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71567FF" w14:textId="77777777" w:rsidR="00F70E65" w:rsidRPr="00F70E65" w:rsidRDefault="00F70E65" w:rsidP="00F70E65">
            <w:r w:rsidRPr="00F70E65">
              <w:rPr>
                <w:rFonts w:ascii="Helvetica Neue" w:hAnsi="Helvetica Neue"/>
                <w:color w:val="000000"/>
                <w:sz w:val="18"/>
                <w:szCs w:val="18"/>
              </w:rPr>
              <w:t>9</w:t>
            </w:r>
          </w:p>
        </w:tc>
      </w:tr>
      <w:tr w:rsidR="00F70E65" w:rsidRPr="00F70E65" w14:paraId="23CD5224" w14:textId="77777777" w:rsidTr="00F70E65">
        <w:trPr>
          <w:trHeight w:val="195"/>
          <w:jc w:val="center"/>
        </w:trPr>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363F157" w14:textId="77777777" w:rsidR="00F70E65" w:rsidRPr="00F70E65" w:rsidRDefault="00F70E65" w:rsidP="00F70E65">
            <w:r w:rsidRPr="00F70E65">
              <w:rPr>
                <w:rFonts w:ascii="Helvetica Neue" w:hAnsi="Helvetica Neue"/>
                <w:color w:val="000000"/>
                <w:sz w:val="18"/>
                <w:szCs w:val="18"/>
              </w:rPr>
              <w:t>3</w:t>
            </w:r>
          </w:p>
        </w:tc>
        <w:tc>
          <w:tcPr>
            <w:tcW w:w="10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C2E83C7" w14:textId="77777777" w:rsidR="00F70E65" w:rsidRPr="00F70E65" w:rsidRDefault="00F70E65" w:rsidP="00F70E65">
            <w:r w:rsidRPr="00F70E65">
              <w:rPr>
                <w:rFonts w:ascii="Helvetica Neue" w:hAnsi="Helvetica Neue"/>
                <w:color w:val="000000"/>
                <w:sz w:val="18"/>
                <w:szCs w:val="18"/>
              </w:rPr>
              <w:t>0.125</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F8235B8" w14:textId="77777777" w:rsidR="00F70E65" w:rsidRPr="00F70E65" w:rsidRDefault="00F70E65" w:rsidP="00F70E65">
            <w:r w:rsidRPr="00F70E65">
              <w:rPr>
                <w:rFonts w:ascii="Helvetica Neue" w:hAnsi="Helvetica Neue"/>
                <w:color w:val="000000"/>
                <w:sz w:val="18"/>
                <w:szCs w:val="18"/>
              </w:rPr>
              <w:t>6</w:t>
            </w:r>
          </w:p>
        </w:tc>
        <w:tc>
          <w:tcPr>
            <w:tcW w:w="163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153B82D" w14:textId="77777777" w:rsidR="00F70E65" w:rsidRPr="00F70E65" w:rsidRDefault="00F70E65" w:rsidP="00F70E65">
            <w:r w:rsidRPr="00F70E65">
              <w:rPr>
                <w:rFonts w:ascii="Helvetica Neue" w:hAnsi="Helvetica Neue"/>
                <w:color w:val="000000"/>
                <w:sz w:val="18"/>
                <w:szCs w:val="18"/>
              </w:rPr>
              <w:t>18</w:t>
            </w:r>
          </w:p>
        </w:tc>
      </w:tr>
      <w:tr w:rsidR="00F70E65" w:rsidRPr="00F70E65" w14:paraId="15DC4B3B" w14:textId="77777777" w:rsidTr="00F70E65">
        <w:trPr>
          <w:trHeight w:val="825"/>
          <w:jc w:val="center"/>
        </w:trPr>
        <w:tc>
          <w:tcPr>
            <w:tcW w:w="5835" w:type="dxa"/>
            <w:gridSpan w:val="4"/>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6D506F9" w14:textId="77777777" w:rsidR="00F70E65" w:rsidRPr="00F70E65" w:rsidRDefault="00F70E65" w:rsidP="00F70E65">
            <w:pPr>
              <w:ind w:left="638" w:hanging="638"/>
            </w:pPr>
            <w:r w:rsidRPr="00F70E65">
              <w:rPr>
                <w:rFonts w:ascii="Helvetica Neue" w:hAnsi="Helvetica Neue"/>
                <w:color w:val="000000"/>
                <w:sz w:val="18"/>
                <w:szCs w:val="18"/>
              </w:rPr>
              <w:t>Note 1:</w:t>
            </w:r>
            <w:r w:rsidRPr="00F70E65">
              <w:rPr>
                <w:rFonts w:ascii="Helvetica Neue" w:hAnsi="Helvetica Neue"/>
                <w:color w:val="000000"/>
                <w:sz w:val="18"/>
                <w:szCs w:val="18"/>
              </w:rPr>
              <w:tab/>
              <w:t>Depends on UE capability.</w:t>
            </w:r>
          </w:p>
          <w:p w14:paraId="05793469" w14:textId="77777777" w:rsidR="00F70E65" w:rsidRPr="00F70E65" w:rsidRDefault="00F70E65" w:rsidP="00F70E65">
            <w:pPr>
              <w:ind w:left="638" w:hanging="638"/>
            </w:pPr>
            <w:r w:rsidRPr="00F70E65">
              <w:rPr>
                <w:rFonts w:ascii="Helvetica Neue" w:hAnsi="Helvetica Neue"/>
                <w:color w:val="000000"/>
                <w:sz w:val="18"/>
                <w:szCs w:val="18"/>
              </w:rPr>
              <w:t>Note 2:</w:t>
            </w:r>
            <w:r w:rsidRPr="00F70E65">
              <w:rPr>
                <w:rFonts w:ascii="Helvetica Neue" w:hAnsi="Helvetica Neue"/>
                <w:color w:val="000000"/>
                <w:sz w:val="18"/>
                <w:szCs w:val="18"/>
              </w:rPr>
              <w:tab/>
              <w:t>If the BWP switch involves changing of SCS, the BWP switch delay is determined by the larger one between the SCS before BWP switch and the SCS after BWP switch.</w:t>
            </w:r>
          </w:p>
        </w:tc>
      </w:tr>
    </w:tbl>
    <w:p w14:paraId="62592E8F" w14:textId="77777777" w:rsidR="00F70E65" w:rsidRDefault="00F70E65" w:rsidP="004E3D44"/>
    <w:p w14:paraId="4136F3F2" w14:textId="71A849CF" w:rsidR="00B36C4A" w:rsidRDefault="00F70E65" w:rsidP="004E3D44">
      <w:r>
        <w:t>The BWP switch</w:t>
      </w:r>
      <w:r w:rsidR="00ED770E">
        <w:t>ing delay</w:t>
      </w:r>
      <w:r>
        <w:t xml:space="preserve"> capability is defined in TS38.306 </w:t>
      </w:r>
      <w:r>
        <w:fldChar w:fldCharType="begin"/>
      </w:r>
      <w:r>
        <w:instrText xml:space="preserve"> REF _Ref20905973 \r \h </w:instrText>
      </w:r>
      <w:r>
        <w:fldChar w:fldCharType="separate"/>
      </w:r>
      <w:r w:rsidR="005F134F">
        <w:t>[13]</w:t>
      </w:r>
      <w:r>
        <w:fldChar w:fldCharType="end"/>
      </w:r>
      <w:r>
        <w:t>:</w:t>
      </w:r>
    </w:p>
    <w:p w14:paraId="0E0E7582" w14:textId="77777777" w:rsidR="00DF3F59" w:rsidRDefault="00DF3F59" w:rsidP="004E3D44"/>
    <w:tbl>
      <w:tblPr>
        <w:tblW w:w="0" w:type="auto"/>
        <w:tblCellMar>
          <w:left w:w="0" w:type="dxa"/>
          <w:right w:w="0" w:type="dxa"/>
        </w:tblCellMar>
        <w:tblLook w:val="04A0" w:firstRow="1" w:lastRow="0" w:firstColumn="1" w:lastColumn="0" w:noHBand="0" w:noVBand="1"/>
      </w:tblPr>
      <w:tblGrid>
        <w:gridCol w:w="5175"/>
        <w:gridCol w:w="525"/>
        <w:gridCol w:w="420"/>
        <w:gridCol w:w="525"/>
        <w:gridCol w:w="540"/>
      </w:tblGrid>
      <w:tr w:rsidR="00F70E65" w14:paraId="2C9101EA" w14:textId="77777777" w:rsidTr="00F70E65">
        <w:trPr>
          <w:trHeight w:val="480"/>
        </w:trPr>
        <w:tc>
          <w:tcPr>
            <w:tcW w:w="5175"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1D09919D" w14:textId="77777777" w:rsidR="00F70E65" w:rsidRDefault="00F70E65">
            <w:pPr>
              <w:pStyle w:val="NormalWeb"/>
              <w:spacing w:before="0" w:beforeAutospacing="0" w:after="0" w:afterAutospacing="0"/>
              <w:jc w:val="center"/>
            </w:pPr>
            <w:r>
              <w:rPr>
                <w:rFonts w:ascii="Arial" w:hAnsi="Arial" w:cs="Arial"/>
                <w:b/>
                <w:bCs/>
                <w:color w:val="000000"/>
                <w:sz w:val="15"/>
                <w:szCs w:val="15"/>
              </w:rPr>
              <w:t>Definitions for parameters</w:t>
            </w:r>
          </w:p>
        </w:tc>
        <w:tc>
          <w:tcPr>
            <w:tcW w:w="525"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1323FDC5" w14:textId="77777777" w:rsidR="00F70E65" w:rsidRDefault="00F70E65">
            <w:pPr>
              <w:pStyle w:val="NormalWeb"/>
              <w:spacing w:before="0" w:beforeAutospacing="0" w:after="0" w:afterAutospacing="0"/>
              <w:jc w:val="center"/>
            </w:pPr>
            <w:r>
              <w:rPr>
                <w:rFonts w:ascii="Arial" w:hAnsi="Arial" w:cs="Arial"/>
                <w:b/>
                <w:bCs/>
                <w:color w:val="000000"/>
                <w:sz w:val="15"/>
                <w:szCs w:val="15"/>
              </w:rPr>
              <w:t>Per</w:t>
            </w:r>
          </w:p>
        </w:tc>
        <w:tc>
          <w:tcPr>
            <w:tcW w:w="420"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66CB17DA" w14:textId="77777777" w:rsidR="00F70E65" w:rsidRDefault="00F70E65">
            <w:pPr>
              <w:pStyle w:val="NormalWeb"/>
              <w:spacing w:before="0" w:beforeAutospacing="0" w:after="0" w:afterAutospacing="0"/>
              <w:jc w:val="center"/>
            </w:pPr>
            <w:r>
              <w:rPr>
                <w:rFonts w:ascii="Arial" w:hAnsi="Arial" w:cs="Arial"/>
                <w:b/>
                <w:bCs/>
                <w:color w:val="000000"/>
                <w:sz w:val="15"/>
                <w:szCs w:val="15"/>
              </w:rPr>
              <w:t>M</w:t>
            </w:r>
          </w:p>
        </w:tc>
        <w:tc>
          <w:tcPr>
            <w:tcW w:w="525"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185EE342" w14:textId="77777777" w:rsidR="00F70E65" w:rsidRDefault="00F70E65">
            <w:pPr>
              <w:pStyle w:val="NormalWeb"/>
              <w:spacing w:before="0" w:beforeAutospacing="0" w:after="0" w:afterAutospacing="0"/>
              <w:jc w:val="center"/>
            </w:pPr>
            <w:r>
              <w:rPr>
                <w:rFonts w:ascii="Arial" w:hAnsi="Arial" w:cs="Arial"/>
                <w:b/>
                <w:bCs/>
                <w:color w:val="000000"/>
                <w:sz w:val="15"/>
                <w:szCs w:val="15"/>
              </w:rPr>
              <w:t>FDD-TDD</w:t>
            </w:r>
          </w:p>
          <w:p w14:paraId="0B412562" w14:textId="77777777" w:rsidR="00F70E65" w:rsidRDefault="00F70E65">
            <w:pPr>
              <w:pStyle w:val="NormalWeb"/>
              <w:spacing w:before="0" w:beforeAutospacing="0" w:after="0" w:afterAutospacing="0"/>
              <w:jc w:val="center"/>
            </w:pPr>
            <w:r>
              <w:rPr>
                <w:rFonts w:ascii="Arial" w:hAnsi="Arial" w:cs="Arial"/>
                <w:b/>
                <w:bCs/>
                <w:color w:val="000000"/>
                <w:sz w:val="15"/>
                <w:szCs w:val="15"/>
              </w:rPr>
              <w:t>DIFF</w:t>
            </w:r>
          </w:p>
        </w:tc>
        <w:tc>
          <w:tcPr>
            <w:tcW w:w="540"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5D43E23D" w14:textId="77777777" w:rsidR="00F70E65" w:rsidRDefault="00F70E65">
            <w:pPr>
              <w:pStyle w:val="NormalWeb"/>
              <w:spacing w:before="0" w:beforeAutospacing="0" w:after="0" w:afterAutospacing="0"/>
              <w:jc w:val="center"/>
            </w:pPr>
            <w:r>
              <w:rPr>
                <w:rFonts w:ascii="Arial" w:hAnsi="Arial" w:cs="Arial"/>
                <w:b/>
                <w:bCs/>
                <w:color w:val="000000"/>
                <w:sz w:val="15"/>
                <w:szCs w:val="15"/>
              </w:rPr>
              <w:t>FR1-FR2</w:t>
            </w:r>
          </w:p>
          <w:p w14:paraId="104B1C80" w14:textId="77777777" w:rsidR="00F70E65" w:rsidRDefault="00F70E65">
            <w:pPr>
              <w:pStyle w:val="NormalWeb"/>
              <w:spacing w:before="0" w:beforeAutospacing="0" w:after="0" w:afterAutospacing="0"/>
              <w:jc w:val="center"/>
            </w:pPr>
            <w:r>
              <w:rPr>
                <w:rFonts w:ascii="Arial" w:hAnsi="Arial" w:cs="Arial"/>
                <w:b/>
                <w:bCs/>
                <w:color w:val="000000"/>
                <w:sz w:val="15"/>
                <w:szCs w:val="15"/>
              </w:rPr>
              <w:t>DIFF</w:t>
            </w:r>
          </w:p>
        </w:tc>
      </w:tr>
      <w:tr w:rsidR="00F70E65" w14:paraId="174AB84C" w14:textId="77777777" w:rsidTr="00F70E65">
        <w:trPr>
          <w:trHeight w:val="645"/>
        </w:trPr>
        <w:tc>
          <w:tcPr>
            <w:tcW w:w="5175"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52033650" w14:textId="77777777" w:rsidR="00F70E65" w:rsidRDefault="00F70E65">
            <w:pPr>
              <w:pStyle w:val="NormalWeb"/>
              <w:spacing w:before="0" w:beforeAutospacing="0" w:after="0" w:afterAutospacing="0"/>
            </w:pPr>
            <w:r>
              <w:rPr>
                <w:rFonts w:ascii="Arial" w:hAnsi="Arial" w:cs="Arial"/>
                <w:b/>
                <w:bCs/>
                <w:i/>
                <w:iCs/>
                <w:color w:val="000000"/>
                <w:sz w:val="15"/>
                <w:szCs w:val="15"/>
              </w:rPr>
              <w:t>bwp-SwitchingDelay</w:t>
            </w:r>
          </w:p>
          <w:p w14:paraId="60477FC4" w14:textId="77777777" w:rsidR="00F70E65" w:rsidRDefault="00F70E65">
            <w:pPr>
              <w:pStyle w:val="NormalWeb"/>
              <w:spacing w:before="0" w:beforeAutospacing="0" w:after="0" w:afterAutospacing="0"/>
            </w:pPr>
            <w:r>
              <w:rPr>
                <w:rFonts w:ascii="Arial" w:hAnsi="Arial" w:cs="Arial"/>
                <w:color w:val="000000"/>
                <w:sz w:val="15"/>
                <w:szCs w:val="15"/>
              </w:rPr>
              <w:t>Defines whether the UE supports DCI and timer based active BWP switching delay type1 or type2 specified in clause 8.6.2 of TS 38.133 [5]. It is mandatory to report type 1 or type 2.</w:t>
            </w:r>
          </w:p>
        </w:tc>
        <w:tc>
          <w:tcPr>
            <w:tcW w:w="525"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31FD60D7" w14:textId="77777777" w:rsidR="00F70E65" w:rsidRDefault="00F70E65">
            <w:pPr>
              <w:pStyle w:val="NormalWeb"/>
              <w:spacing w:before="0" w:beforeAutospacing="0" w:after="0" w:afterAutospacing="0"/>
              <w:jc w:val="center"/>
            </w:pPr>
            <w:r>
              <w:rPr>
                <w:rFonts w:ascii="Arial" w:hAnsi="Arial" w:cs="Arial"/>
                <w:color w:val="000000"/>
                <w:sz w:val="15"/>
                <w:szCs w:val="15"/>
              </w:rPr>
              <w:t>UE</w:t>
            </w:r>
          </w:p>
        </w:tc>
        <w:tc>
          <w:tcPr>
            <w:tcW w:w="420"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6078DB64" w14:textId="77777777" w:rsidR="00F70E65" w:rsidRDefault="00F70E65">
            <w:pPr>
              <w:pStyle w:val="NormalWeb"/>
              <w:spacing w:before="0" w:beforeAutospacing="0" w:after="0" w:afterAutospacing="0"/>
              <w:jc w:val="center"/>
            </w:pPr>
            <w:r>
              <w:rPr>
                <w:rFonts w:ascii="Arial" w:hAnsi="Arial" w:cs="Arial"/>
                <w:color w:val="000000"/>
                <w:sz w:val="15"/>
                <w:szCs w:val="15"/>
              </w:rPr>
              <w:t>Yes</w:t>
            </w:r>
          </w:p>
        </w:tc>
        <w:tc>
          <w:tcPr>
            <w:tcW w:w="525"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17856984" w14:textId="77777777" w:rsidR="00F70E65" w:rsidRDefault="00F70E65">
            <w:pPr>
              <w:pStyle w:val="NormalWeb"/>
              <w:spacing w:before="0" w:beforeAutospacing="0" w:after="0" w:afterAutospacing="0"/>
              <w:jc w:val="center"/>
            </w:pPr>
            <w:r>
              <w:rPr>
                <w:rFonts w:ascii="Arial" w:hAnsi="Arial" w:cs="Arial"/>
                <w:color w:val="000000"/>
                <w:sz w:val="15"/>
                <w:szCs w:val="15"/>
              </w:rPr>
              <w:t>No</w:t>
            </w:r>
          </w:p>
        </w:tc>
        <w:tc>
          <w:tcPr>
            <w:tcW w:w="540" w:type="dxa"/>
            <w:tcBorders>
              <w:top w:val="single" w:sz="6" w:space="0" w:color="808080"/>
              <w:left w:val="single" w:sz="6" w:space="0" w:color="808080"/>
              <w:bottom w:val="single" w:sz="6" w:space="0" w:color="808080"/>
              <w:right w:val="single" w:sz="6" w:space="0" w:color="808080"/>
            </w:tcBorders>
            <w:tcMar>
              <w:top w:w="0" w:type="dxa"/>
              <w:left w:w="75" w:type="dxa"/>
              <w:bottom w:w="0" w:type="dxa"/>
              <w:right w:w="75" w:type="dxa"/>
            </w:tcMar>
            <w:hideMark/>
          </w:tcPr>
          <w:p w14:paraId="742DACCA" w14:textId="77777777" w:rsidR="00F70E65" w:rsidRDefault="00F70E65">
            <w:pPr>
              <w:pStyle w:val="NormalWeb"/>
              <w:spacing w:before="0" w:beforeAutospacing="0" w:after="0" w:afterAutospacing="0"/>
              <w:jc w:val="center"/>
            </w:pPr>
            <w:r>
              <w:rPr>
                <w:rFonts w:ascii="Arial" w:hAnsi="Arial" w:cs="Arial"/>
                <w:color w:val="000000"/>
                <w:sz w:val="15"/>
                <w:szCs w:val="15"/>
              </w:rPr>
              <w:t>No</w:t>
            </w:r>
          </w:p>
        </w:tc>
      </w:tr>
    </w:tbl>
    <w:p w14:paraId="1B5D6065" w14:textId="288CF947" w:rsidR="00FF0621" w:rsidRPr="00FF0621" w:rsidRDefault="00FF0621" w:rsidP="00FF0621"/>
    <w:p w14:paraId="61CEE99B" w14:textId="0AE67A23" w:rsidR="008E7986" w:rsidRDefault="008E7986" w:rsidP="008E7986">
      <w:pPr>
        <w:pStyle w:val="Heading2"/>
      </w:pPr>
      <w:r>
        <w:t>2.2</w:t>
      </w:r>
      <w:r>
        <w:tab/>
      </w:r>
      <w:r w:rsidR="00FF0621">
        <w:t>Non-simultaneous uplink with a single carrier</w:t>
      </w:r>
    </w:p>
    <w:p w14:paraId="71D2BD20" w14:textId="709FD40C" w:rsidR="005E69AE" w:rsidRDefault="00B022E6" w:rsidP="005E69AE">
      <w:r>
        <w:t xml:space="preserve">As outlined in </w:t>
      </w:r>
      <w:r>
        <w:fldChar w:fldCharType="begin"/>
      </w:r>
      <w:r>
        <w:instrText xml:space="preserve"> REF _Ref20897948 \r \h </w:instrText>
      </w:r>
      <w:r>
        <w:fldChar w:fldCharType="separate"/>
      </w:r>
      <w:r w:rsidR="005F134F">
        <w:t>[3]</w:t>
      </w:r>
      <w:r>
        <w:fldChar w:fldCharType="end"/>
      </w:r>
      <w:r>
        <w:t xml:space="preserve">, a </w:t>
      </w:r>
      <w:r w:rsidRPr="00B022E6">
        <w:t xml:space="preserve">UE may implement a single Tx RF chain to support non-simultaneous operation in non-contiguous carriers by retuning the center frequency and bandwidth from the </w:t>
      </w:r>
      <w:r w:rsidRPr="00B022E6">
        <w:lastRenderedPageBreak/>
        <w:t>active BWP in CC1 to the active BWP in CC2</w:t>
      </w:r>
      <w:r>
        <w:t>.</w:t>
      </w:r>
      <w:r w:rsidR="00DF3F59">
        <w:t xml:space="preserve">  A carrier switching delay for this case consists of LO retuning, RF and BB configuration for the BW, and RF and BB configuration for the SCS configuration.  The scenario is illustrated in Figure 2 below.</w:t>
      </w:r>
    </w:p>
    <w:p w14:paraId="49D5A54B" w14:textId="77777777" w:rsidR="00B022E6" w:rsidRDefault="00B022E6" w:rsidP="005E69AE"/>
    <w:p w14:paraId="44CBC12B" w14:textId="0D6AE004" w:rsidR="001F5A79" w:rsidRDefault="001F5A79" w:rsidP="001F5A79">
      <w:pPr>
        <w:jc w:val="center"/>
      </w:pPr>
      <w:r w:rsidRPr="001F5A79">
        <w:rPr>
          <w:noProof/>
        </w:rPr>
        <w:drawing>
          <wp:inline distT="0" distB="0" distL="0" distR="0" wp14:anchorId="514E1B24" wp14:editId="270A45A6">
            <wp:extent cx="3657600" cy="102318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1023187"/>
                    </a:xfrm>
                    <a:prstGeom prst="rect">
                      <a:avLst/>
                    </a:prstGeom>
                  </pic:spPr>
                </pic:pic>
              </a:graphicData>
            </a:graphic>
          </wp:inline>
        </w:drawing>
      </w:r>
    </w:p>
    <w:p w14:paraId="78F2F3FE" w14:textId="4E27B0E1" w:rsidR="00DF3F59" w:rsidRPr="004D3578" w:rsidRDefault="00DF3F59" w:rsidP="00DF3F59">
      <w:pPr>
        <w:pStyle w:val="TF"/>
      </w:pPr>
      <w:r w:rsidRPr="004D3578">
        <w:t xml:space="preserve">Figure </w:t>
      </w:r>
      <w:r>
        <w:t>2</w:t>
      </w:r>
      <w:r w:rsidRPr="004D3578">
        <w:t xml:space="preserve">: </w:t>
      </w:r>
      <w:r>
        <w:t>Non-simultaneous uplink with a single carrier</w:t>
      </w:r>
    </w:p>
    <w:p w14:paraId="669B84BE" w14:textId="0D77C719" w:rsidR="001F5A79" w:rsidRDefault="00CE4E6F" w:rsidP="005E69AE">
      <w:r>
        <w:t xml:space="preserve">From an implementation prespective, the RF and BB delays associated with this carrier switching operation are well aligned with the delays already derived for the BWP switching </w:t>
      </w:r>
      <w:r w:rsidR="003B772E">
        <w:t>S</w:t>
      </w:r>
      <w:r>
        <w:t xml:space="preserve">cenario 3 </w:t>
      </w:r>
      <w:r>
        <w:fldChar w:fldCharType="begin"/>
      </w:r>
      <w:r>
        <w:instrText xml:space="preserve"> REF _Ref20901967 \r \h </w:instrText>
      </w:r>
      <w:r>
        <w:fldChar w:fldCharType="separate"/>
      </w:r>
      <w:r w:rsidR="005F134F">
        <w:t>[7]</w:t>
      </w:r>
      <w:r>
        <w:fldChar w:fldCharType="end"/>
      </w:r>
      <w:r>
        <w:t xml:space="preserve">, </w:t>
      </w:r>
      <w:r>
        <w:fldChar w:fldCharType="begin"/>
      </w:r>
      <w:r>
        <w:instrText xml:space="preserve"> REF _Ref20902198 \r \h </w:instrText>
      </w:r>
      <w:r>
        <w:fldChar w:fldCharType="separate"/>
      </w:r>
      <w:r w:rsidR="005F134F">
        <w:t>[8]</w:t>
      </w:r>
      <w:r>
        <w:fldChar w:fldCharType="end"/>
      </w:r>
      <w:r>
        <w:t>.</w:t>
      </w:r>
    </w:p>
    <w:p w14:paraId="2F9E92D0" w14:textId="77777777" w:rsidR="00DF3F59" w:rsidRDefault="00DF3F59" w:rsidP="005E69AE"/>
    <w:p w14:paraId="0927EFCB" w14:textId="75F52329" w:rsidR="00FF0621" w:rsidRDefault="00FF0621" w:rsidP="00FF0621">
      <w:pPr>
        <w:pStyle w:val="Observation"/>
      </w:pPr>
      <w:bookmarkStart w:id="2" w:name="_Toc20901661"/>
      <w:bookmarkStart w:id="3" w:name="_Toc20901671"/>
      <w:bookmarkStart w:id="4" w:name="_Toc20907279"/>
      <w:bookmarkStart w:id="5" w:name="_Toc20907972"/>
      <w:bookmarkStart w:id="6" w:name="_Toc20908022"/>
      <w:r>
        <w:t xml:space="preserve">Observation </w:t>
      </w:r>
      <w:r w:rsidR="001F5A79">
        <w:t>1</w:t>
      </w:r>
      <w:r>
        <w:t>:</w:t>
      </w:r>
      <w:r>
        <w:tab/>
      </w:r>
      <w:bookmarkEnd w:id="2"/>
      <w:bookmarkEnd w:id="3"/>
      <w:r w:rsidR="00CE4E6F">
        <w:t xml:space="preserve">The scenario of non-simultaneous uplink with a single carrier and the BWP switching </w:t>
      </w:r>
      <w:r w:rsidR="00702213">
        <w:t>S</w:t>
      </w:r>
      <w:r w:rsidR="00CE4E6F">
        <w:t xml:space="preserve">cenario 3 share common implementation parameters, such as </w:t>
      </w:r>
      <w:r w:rsidR="00CE4E6F" w:rsidRPr="00CE4E6F">
        <w:t>LO retuning, RF and BB configuration for the BW, and RF and BB configuration for the SCS</w:t>
      </w:r>
      <w:r w:rsidR="00CE4E6F">
        <w:t>.</w:t>
      </w:r>
      <w:bookmarkEnd w:id="4"/>
      <w:bookmarkEnd w:id="5"/>
      <w:bookmarkEnd w:id="6"/>
    </w:p>
    <w:p w14:paraId="1C9AE2C7" w14:textId="18E040BC" w:rsidR="00534ABA" w:rsidRDefault="00534ABA" w:rsidP="00FF0621">
      <w:r>
        <w:t>Considering the physical layer specificaiton, as it relates to BWP switching, this fr</w:t>
      </w:r>
      <w:r w:rsidR="00DF3064">
        <w:t>amework essentially defines a scheduler restriction for the network in order to allow the UE to assume that no DL signal reception or UL signal transmission is expected for the duration of the switching operation.  This is the essential component to enable non-simultaneous uplink.</w:t>
      </w:r>
    </w:p>
    <w:p w14:paraId="37AA64E6" w14:textId="77777777" w:rsidR="00534ABA" w:rsidRDefault="00534ABA" w:rsidP="00FF0621"/>
    <w:p w14:paraId="267E769F" w14:textId="1497BF84" w:rsidR="00FF0621" w:rsidRDefault="00CE4E6F" w:rsidP="00FF0621">
      <w:r>
        <w:t>Based on this analysis, it is possible to confirm the applicability of the BWP switching framework for the scenario of non-simultaneous uplink with a single carrier.</w:t>
      </w:r>
    </w:p>
    <w:p w14:paraId="656D9C3C" w14:textId="77777777" w:rsidR="00DF3F59" w:rsidRDefault="00DF3F59" w:rsidP="00FF0621"/>
    <w:p w14:paraId="48E216D3" w14:textId="1A29B034" w:rsidR="00FF0621" w:rsidRDefault="00FF0621" w:rsidP="00FF0621">
      <w:pPr>
        <w:pStyle w:val="Proposal"/>
      </w:pPr>
      <w:bookmarkStart w:id="7" w:name="_Toc13823832"/>
      <w:bookmarkStart w:id="8" w:name="_Toc20897610"/>
      <w:bookmarkStart w:id="9" w:name="_Toc20897777"/>
      <w:bookmarkStart w:id="10" w:name="_Toc20901663"/>
      <w:bookmarkStart w:id="11" w:name="_Toc20901673"/>
      <w:bookmarkStart w:id="12" w:name="_Toc20907281"/>
      <w:bookmarkStart w:id="13" w:name="_Toc20907973"/>
      <w:bookmarkStart w:id="14" w:name="_Toc20908023"/>
      <w:r>
        <w:t>Proposal 1:</w:t>
      </w:r>
      <w:r>
        <w:tab/>
      </w:r>
      <w:bookmarkEnd w:id="7"/>
      <w:bookmarkEnd w:id="8"/>
      <w:bookmarkEnd w:id="9"/>
      <w:bookmarkEnd w:id="10"/>
      <w:bookmarkEnd w:id="11"/>
      <w:r w:rsidR="00CE4E6F">
        <w:t>For scenario of non-simultaneous uplink with a single carrier, the BWP switching framework (including delays and capability) can be reused.</w:t>
      </w:r>
      <w:bookmarkEnd w:id="12"/>
      <w:bookmarkEnd w:id="13"/>
      <w:bookmarkEnd w:id="14"/>
    </w:p>
    <w:p w14:paraId="67098761" w14:textId="0479A945" w:rsidR="00CE4E6F" w:rsidRDefault="00CE4E6F" w:rsidP="00CE4E6F">
      <w:pPr>
        <w:pStyle w:val="Proposal"/>
      </w:pPr>
      <w:bookmarkStart w:id="15" w:name="_Toc20907282"/>
      <w:bookmarkStart w:id="16" w:name="_Toc20907974"/>
      <w:bookmarkStart w:id="17" w:name="_Toc20908024"/>
      <w:r>
        <w:t>Proposal 2:</w:t>
      </w:r>
      <w:r>
        <w:tab/>
        <w:t>Based on Proposal 1, the feasibility of the scenario of non-simultaneous uplink with a single carrier can be confirmed</w:t>
      </w:r>
      <w:r w:rsidR="00CE00B0">
        <w:t>.</w:t>
      </w:r>
      <w:bookmarkEnd w:id="15"/>
      <w:bookmarkEnd w:id="16"/>
      <w:bookmarkEnd w:id="17"/>
    </w:p>
    <w:p w14:paraId="3CAE7341" w14:textId="12923198" w:rsidR="005E69AE" w:rsidRDefault="005E69AE" w:rsidP="005E69AE">
      <w:pPr>
        <w:pStyle w:val="Heading2"/>
      </w:pPr>
      <w:r>
        <w:t>2.3</w:t>
      </w:r>
      <w:r>
        <w:tab/>
      </w:r>
      <w:r w:rsidR="00FF0621">
        <w:t xml:space="preserve">Non-simultaneous uplink with a group of </w:t>
      </w:r>
      <w:r w:rsidR="000F7D32">
        <w:t xml:space="preserve">contiguous </w:t>
      </w:r>
      <w:r w:rsidR="00FF0621">
        <w:t>carriers</w:t>
      </w:r>
    </w:p>
    <w:p w14:paraId="21E1D137" w14:textId="5C14BC13" w:rsidR="00104BC6" w:rsidRDefault="000F7D32" w:rsidP="00E72324">
      <w:r>
        <w:t xml:space="preserve">As described in </w:t>
      </w:r>
      <w:r>
        <w:fldChar w:fldCharType="begin"/>
      </w:r>
      <w:r>
        <w:instrText xml:space="preserve"> REF _Ref20897949 \r \h </w:instrText>
      </w:r>
      <w:r>
        <w:fldChar w:fldCharType="separate"/>
      </w:r>
      <w:r w:rsidR="005F134F">
        <w:t>[4]</w:t>
      </w:r>
      <w:r>
        <w:fldChar w:fldCharType="end"/>
      </w:r>
      <w:r>
        <w:t>, the scenario for supporting non-simultaneous uplink with a group of contiguous carriers is motivated as follows:</w:t>
      </w:r>
    </w:p>
    <w:p w14:paraId="5F322699" w14:textId="21FF9952" w:rsidR="000F7D32" w:rsidRDefault="000F7D32" w:rsidP="00E72324"/>
    <w:p w14:paraId="588367D3" w14:textId="4F671124" w:rsidR="000F7D32" w:rsidRPr="004169CB" w:rsidRDefault="000F7D32" w:rsidP="000F7D32">
      <w:pPr>
        <w:pStyle w:val="B1"/>
        <w:pBdr>
          <w:top w:val="single" w:sz="4" w:space="1" w:color="auto"/>
          <w:left w:val="single" w:sz="4" w:space="4" w:color="auto"/>
          <w:bottom w:val="single" w:sz="4" w:space="1" w:color="auto"/>
          <w:right w:val="single" w:sz="4" w:space="4" w:color="auto"/>
        </w:pBdr>
        <w:ind w:left="270" w:firstLine="0"/>
        <w:rPr>
          <w:sz w:val="16"/>
          <w:szCs w:val="16"/>
        </w:rPr>
      </w:pPr>
      <w:r w:rsidRPr="000F7D32">
        <w:rPr>
          <w:sz w:val="16"/>
          <w:szCs w:val="16"/>
        </w:rPr>
        <w:t>The limited NC ULCA on the other hand is a calculated simplification of the UE architecture while taking away some scheduling flexibility from the network. In the limited NC ULCA proposal, only contiguous CCs from a single subset BW class may be activated for UL by the network at any time. There is a possible switching time ramification as the UE with limited NC CA capability reconfigures itself when the network reassigns which UL CCs are active.</w:t>
      </w:r>
    </w:p>
    <w:p w14:paraId="65A99B2E" w14:textId="1FD644F2" w:rsidR="000F7D32" w:rsidRDefault="000F7D32" w:rsidP="00E72324">
      <w:r>
        <w:t>This scenario is illustrated in Figure 3 below.</w:t>
      </w:r>
    </w:p>
    <w:p w14:paraId="6DFC914F" w14:textId="77777777" w:rsidR="000F7D32" w:rsidRDefault="000F7D32" w:rsidP="00E72324"/>
    <w:p w14:paraId="31397A43" w14:textId="69AF6C0A" w:rsidR="001F5A79" w:rsidRDefault="001F5A79" w:rsidP="001F5A79">
      <w:pPr>
        <w:jc w:val="center"/>
      </w:pPr>
      <w:r w:rsidRPr="001F5A79">
        <w:rPr>
          <w:noProof/>
        </w:rPr>
        <w:drawing>
          <wp:inline distT="0" distB="0" distL="0" distR="0" wp14:anchorId="1212B4A7" wp14:editId="6E50F3AD">
            <wp:extent cx="3657600" cy="1018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1018635"/>
                    </a:xfrm>
                    <a:prstGeom prst="rect">
                      <a:avLst/>
                    </a:prstGeom>
                  </pic:spPr>
                </pic:pic>
              </a:graphicData>
            </a:graphic>
          </wp:inline>
        </w:drawing>
      </w:r>
    </w:p>
    <w:p w14:paraId="24B7D577" w14:textId="41EE571F" w:rsidR="000F7D32" w:rsidRPr="004D3578" w:rsidRDefault="000F7D32" w:rsidP="000F7D32">
      <w:pPr>
        <w:pStyle w:val="TF"/>
      </w:pPr>
      <w:r w:rsidRPr="004D3578">
        <w:t xml:space="preserve">Figure </w:t>
      </w:r>
      <w:r>
        <w:t>3</w:t>
      </w:r>
      <w:r w:rsidRPr="004D3578">
        <w:t xml:space="preserve">: </w:t>
      </w:r>
      <w:r>
        <w:t>Non-simultaneous uplink with a group of contiguous carriers</w:t>
      </w:r>
    </w:p>
    <w:p w14:paraId="45985C51" w14:textId="67474949" w:rsidR="001F5A79" w:rsidRDefault="000F7D32" w:rsidP="00E72324">
      <w:r>
        <w:lastRenderedPageBreak/>
        <w:t xml:space="preserve">Further discussion on the feasibility of reusing the </w:t>
      </w:r>
      <w:r w:rsidR="00820F7F">
        <w:t xml:space="preserve">switching </w:t>
      </w:r>
      <w:r>
        <w:t xml:space="preserve">parameters from </w:t>
      </w:r>
      <w:r w:rsidR="00820F7F">
        <w:t xml:space="preserve">the </w:t>
      </w:r>
      <w:r>
        <w:t xml:space="preserve">non-simultaneous uplink with </w:t>
      </w:r>
      <w:r w:rsidR="00820F7F">
        <w:t>single carrier scenario is needed.</w:t>
      </w:r>
    </w:p>
    <w:p w14:paraId="75992FD4" w14:textId="77777777" w:rsidR="000F7D32" w:rsidRDefault="000F7D32" w:rsidP="00E72324"/>
    <w:p w14:paraId="3BFB83E2" w14:textId="44433C2B" w:rsidR="00FF0621" w:rsidRPr="004826A9" w:rsidRDefault="00FF0621" w:rsidP="00FF0621">
      <w:pPr>
        <w:pStyle w:val="Proposal"/>
      </w:pPr>
      <w:bookmarkStart w:id="18" w:name="_Toc20901664"/>
      <w:bookmarkStart w:id="19" w:name="_Toc20901674"/>
      <w:bookmarkStart w:id="20" w:name="_Toc20907283"/>
      <w:bookmarkStart w:id="21" w:name="_Toc20907975"/>
      <w:bookmarkStart w:id="22" w:name="_Toc20908025"/>
      <w:r>
        <w:t xml:space="preserve">Proposal </w:t>
      </w:r>
      <w:r w:rsidR="00820F7F">
        <w:t>3</w:t>
      </w:r>
      <w:r>
        <w:t>:</w:t>
      </w:r>
      <w:r>
        <w:tab/>
      </w:r>
      <w:bookmarkEnd w:id="18"/>
      <w:bookmarkEnd w:id="19"/>
      <w:bookmarkEnd w:id="20"/>
      <w:r w:rsidR="00820F7F">
        <w:t>RAN4 should discuss the feasibility of introducing the scenario of non-simultaneous uplink with a group of contiguous carriers and discuss whether the switching parameters from the single carrier case can be reused.</w:t>
      </w:r>
      <w:bookmarkEnd w:id="21"/>
      <w:bookmarkEnd w:id="22"/>
    </w:p>
    <w:p w14:paraId="34C99636" w14:textId="77777777" w:rsidR="008E7986" w:rsidRDefault="008E7986" w:rsidP="008E7986">
      <w:pPr>
        <w:pStyle w:val="Heading1"/>
      </w:pPr>
      <w:r>
        <w:t>3</w:t>
      </w:r>
      <w:r>
        <w:tab/>
        <w:t>Conclusions</w:t>
      </w:r>
    </w:p>
    <w:p w14:paraId="371F8D31" w14:textId="5BBEC68E" w:rsidR="00FF0621" w:rsidRDefault="00FF0621" w:rsidP="00FF0621">
      <w:r>
        <w:t>This contribution provided the analysis to confirm the feasibility of carrier switching to support non-simultaneous uplink of non-contiguous carriers, proposed to conclude the Phase 1 of the related study by confirming the feature’s feasibility, and recommended further study into the case of UL carrier group switching.  The following observations and proposals have been made:</w:t>
      </w:r>
    </w:p>
    <w:p w14:paraId="40D4169E" w14:textId="77777777" w:rsidR="00DF3F59" w:rsidRDefault="00DF3F59" w:rsidP="00FF0621"/>
    <w:p w14:paraId="1949F8EC" w14:textId="77777777" w:rsidR="005F134F"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5F134F">
        <w:rPr>
          <w:noProof/>
        </w:rPr>
        <w:t>Observation 1:</w:t>
      </w:r>
      <w:r w:rsidR="005F134F">
        <w:rPr>
          <w:rFonts w:asciiTheme="minorHAnsi" w:eastAsiaTheme="minorEastAsia" w:hAnsiTheme="minorHAnsi" w:cstheme="minorBidi"/>
          <w:b w:val="0"/>
          <w:bCs w:val="0"/>
          <w:noProof/>
          <w:sz w:val="24"/>
          <w:szCs w:val="24"/>
          <w:lang w:val="en-US"/>
        </w:rPr>
        <w:tab/>
      </w:r>
      <w:r w:rsidR="005F134F">
        <w:rPr>
          <w:noProof/>
        </w:rPr>
        <w:t>The scenario of non-simultaneous uplink with a single carrier and the BWP switching Scenario 3 share common implementation parameters, such as LO retuning, RF and BB configuration for the BW, and RF and BB configuration for the SCS.</w:t>
      </w:r>
    </w:p>
    <w:p w14:paraId="4FBB4955" w14:textId="1FD0689C" w:rsidR="005973BE" w:rsidRDefault="00F62AEB" w:rsidP="00E72324">
      <w:r>
        <w:rPr>
          <w:rFonts w:asciiTheme="minorHAnsi" w:hAnsiTheme="minorHAnsi"/>
          <w:bCs/>
        </w:rPr>
        <w:fldChar w:fldCharType="end"/>
      </w:r>
    </w:p>
    <w:p w14:paraId="0757F43B" w14:textId="77777777" w:rsidR="005F134F"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5F134F">
        <w:rPr>
          <w:noProof/>
        </w:rPr>
        <w:t>Proposal 1:</w:t>
      </w:r>
      <w:r w:rsidR="005F134F">
        <w:rPr>
          <w:rFonts w:asciiTheme="minorHAnsi" w:eastAsiaTheme="minorEastAsia" w:hAnsiTheme="minorHAnsi" w:cstheme="minorBidi"/>
          <w:b w:val="0"/>
          <w:bCs w:val="0"/>
          <w:noProof/>
          <w:sz w:val="24"/>
          <w:szCs w:val="24"/>
          <w:lang w:val="en-US"/>
        </w:rPr>
        <w:tab/>
      </w:r>
      <w:r w:rsidR="005F134F">
        <w:rPr>
          <w:noProof/>
        </w:rPr>
        <w:t>For scenario of non-simultaneous uplink with a single carrier, the BWP switching framework (including delays and capability) can be reused.</w:t>
      </w:r>
    </w:p>
    <w:p w14:paraId="54413667" w14:textId="77777777" w:rsidR="005F134F" w:rsidRDefault="005F134F">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Based on Proposal 1, the feasibility of the scenario of non-simultaneous uplink with a single carrier can be confirmed.</w:t>
      </w:r>
    </w:p>
    <w:p w14:paraId="64D0E562" w14:textId="77777777" w:rsidR="005F134F" w:rsidRDefault="005F134F">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RAN4 should discuss the feasibility of introducing the scenario of non-simultaneous uplink with a group of contiguous carriers and discuss whether the switching parameters from the single carrier case can be reused.</w:t>
      </w:r>
    </w:p>
    <w:p w14:paraId="0DA01C95" w14:textId="78E86AD9"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r>
        <w:br w:type="page"/>
      </w:r>
    </w:p>
    <w:p w14:paraId="5D2DDC34" w14:textId="77777777" w:rsidR="005E69AE" w:rsidRDefault="005E69AE" w:rsidP="005E69AE">
      <w:pPr>
        <w:pStyle w:val="Heading1"/>
      </w:pPr>
      <w:r>
        <w:lastRenderedPageBreak/>
        <w:t>4</w:t>
      </w:r>
      <w:r>
        <w:tab/>
        <w:t>References</w:t>
      </w:r>
    </w:p>
    <w:p w14:paraId="6AAA4C93" w14:textId="77777777" w:rsidR="00CB4975" w:rsidRDefault="00CB4975" w:rsidP="00CB4975">
      <w:pPr>
        <w:pStyle w:val="EX"/>
        <w:numPr>
          <w:ilvl w:val="0"/>
          <w:numId w:val="5"/>
        </w:numPr>
      </w:pPr>
      <w:bookmarkStart w:id="23" w:name="_Ref16575941"/>
      <w:bookmarkStart w:id="24" w:name="_Ref16557425"/>
      <w:r w:rsidRPr="008E2E1C">
        <w:t>RP-190761</w:t>
      </w:r>
      <w:r>
        <w:t>, “</w:t>
      </w:r>
      <w:r w:rsidRPr="008E2E1C">
        <w:t>NR RF requirements for FR2</w:t>
      </w:r>
      <w:r>
        <w:t>”</w:t>
      </w:r>
      <w:bookmarkEnd w:id="23"/>
    </w:p>
    <w:p w14:paraId="6B7EBFB2" w14:textId="3A474688" w:rsidR="00CB4975" w:rsidRDefault="00CB4975" w:rsidP="00CB4975">
      <w:pPr>
        <w:pStyle w:val="EX"/>
        <w:numPr>
          <w:ilvl w:val="0"/>
          <w:numId w:val="5"/>
        </w:numPr>
      </w:pPr>
      <w:bookmarkStart w:id="25" w:name="_Ref16576366"/>
      <w:r w:rsidRPr="004B351C">
        <w:t>3GPP TS38.101-2, “NR; User Equipment (UE) radio transmission and reception; Part 2: Range 2 Standalone”</w:t>
      </w:r>
      <w:bookmarkEnd w:id="24"/>
      <w:bookmarkEnd w:id="25"/>
    </w:p>
    <w:p w14:paraId="5B69AE6A" w14:textId="77E31E16" w:rsidR="00AE6C72" w:rsidRDefault="00AE6C72" w:rsidP="00CB4975">
      <w:pPr>
        <w:pStyle w:val="EX"/>
        <w:numPr>
          <w:ilvl w:val="0"/>
          <w:numId w:val="5"/>
        </w:numPr>
      </w:pPr>
      <w:bookmarkStart w:id="26" w:name="_Ref20897948"/>
      <w:r w:rsidRPr="00AE6C72">
        <w:t>R4-1908013</w:t>
      </w:r>
      <w:r>
        <w:t>, “</w:t>
      </w:r>
      <w:r w:rsidRPr="00AE6C72">
        <w:t>Non-simultaneous transmission for intra-band non-contiguous UL CA in FR2</w:t>
      </w:r>
      <w:r>
        <w:t>,” Apple Inc., 3GPP RAN4 #92, August 2019</w:t>
      </w:r>
      <w:bookmarkEnd w:id="26"/>
    </w:p>
    <w:p w14:paraId="30319253" w14:textId="5FFC2A91" w:rsidR="00AE6C72" w:rsidRDefault="00AE6C72" w:rsidP="00CB4975">
      <w:pPr>
        <w:pStyle w:val="EX"/>
        <w:numPr>
          <w:ilvl w:val="0"/>
          <w:numId w:val="5"/>
        </w:numPr>
      </w:pPr>
      <w:bookmarkStart w:id="27" w:name="_Ref20897949"/>
      <w:r w:rsidRPr="00AE6C72">
        <w:t>R4-1908166</w:t>
      </w:r>
      <w:r>
        <w:t>, “</w:t>
      </w:r>
      <w:r w:rsidRPr="00AE6C72">
        <w:t>On FR2 Intra-band NC ULCA</w:t>
      </w:r>
      <w:r>
        <w:t>,” Qualcomm Incorporated, 3GPP RAN4 #92, August 2019</w:t>
      </w:r>
      <w:bookmarkEnd w:id="27"/>
    </w:p>
    <w:p w14:paraId="67F9D59D" w14:textId="69CA338F" w:rsidR="00AE2616" w:rsidRDefault="00AE2616" w:rsidP="00CB4975">
      <w:pPr>
        <w:pStyle w:val="EX"/>
        <w:numPr>
          <w:ilvl w:val="0"/>
          <w:numId w:val="5"/>
        </w:numPr>
      </w:pPr>
      <w:bookmarkStart w:id="28" w:name="_Ref20898479"/>
      <w:r w:rsidRPr="00AE2616">
        <w:t>R4-1910282</w:t>
      </w:r>
      <w:r>
        <w:t>, “</w:t>
      </w:r>
      <w:r w:rsidRPr="00AE2616">
        <w:t>WF on Intra-band non-contiguous ULCA general requirements and MPR for FR2</w:t>
      </w:r>
      <w:r>
        <w:t xml:space="preserve">,” </w:t>
      </w:r>
      <w:r w:rsidRPr="00AE2616">
        <w:t>Qualcomm, Nokia, Intel, Apple, Huawei</w:t>
      </w:r>
      <w:r>
        <w:t>, 3GPP RAN4 #92, August 2019</w:t>
      </w:r>
      <w:bookmarkEnd w:id="28"/>
    </w:p>
    <w:p w14:paraId="0D28D4A3" w14:textId="1F8CE534" w:rsidR="00AE2616" w:rsidRDefault="004169CB" w:rsidP="00CB4975">
      <w:pPr>
        <w:pStyle w:val="EX"/>
        <w:numPr>
          <w:ilvl w:val="0"/>
          <w:numId w:val="5"/>
        </w:numPr>
      </w:pPr>
      <w:bookmarkStart w:id="29" w:name="_Ref20898777"/>
      <w:r>
        <w:t>R4-19xxxxx, “</w:t>
      </w:r>
      <w:r w:rsidRPr="004169CB">
        <w:t>RAN4 #92 Meeting report</w:t>
      </w:r>
      <w:r>
        <w:t>”</w:t>
      </w:r>
      <w:bookmarkEnd w:id="29"/>
      <w:r>
        <w:t xml:space="preserve"> </w:t>
      </w:r>
    </w:p>
    <w:p w14:paraId="7B41AE77" w14:textId="71BD94CE" w:rsidR="00977B18" w:rsidRDefault="00977B18" w:rsidP="00CB4975">
      <w:pPr>
        <w:pStyle w:val="EX"/>
        <w:numPr>
          <w:ilvl w:val="0"/>
          <w:numId w:val="5"/>
        </w:numPr>
      </w:pPr>
      <w:bookmarkStart w:id="30" w:name="_Ref20901967"/>
      <w:r w:rsidRPr="00977B18">
        <w:t>R4-1803283</w:t>
      </w:r>
      <w:r>
        <w:t>, “</w:t>
      </w:r>
      <w:r w:rsidRPr="00977B18">
        <w:t>DRAFT LS on BWP switching delay</w:t>
      </w:r>
      <w:r>
        <w:t>,” Intel Corporation, 3GPP RAN4 #</w:t>
      </w:r>
      <w:r w:rsidR="006E7AE7">
        <w:t>86, February 2018</w:t>
      </w:r>
      <w:bookmarkEnd w:id="30"/>
    </w:p>
    <w:p w14:paraId="7E42D9FA" w14:textId="6FBDC470" w:rsidR="006E7AE7" w:rsidRDefault="006E7AE7" w:rsidP="00CB4975">
      <w:pPr>
        <w:pStyle w:val="EX"/>
        <w:numPr>
          <w:ilvl w:val="0"/>
          <w:numId w:val="5"/>
        </w:numPr>
      </w:pPr>
      <w:bookmarkStart w:id="31" w:name="_Ref20902198"/>
      <w:r w:rsidRPr="006E7AE7">
        <w:t>R4-1805540</w:t>
      </w:r>
      <w:r>
        <w:t>, “</w:t>
      </w:r>
      <w:r w:rsidRPr="006E7AE7">
        <w:t>Way forward on BWP switching</w:t>
      </w:r>
      <w:r>
        <w:t xml:space="preserve">,” </w:t>
      </w:r>
      <w:r w:rsidRPr="006E7AE7">
        <w:t>Ericsson, Intel, Mediatek, Nokia, Nokia Shanghai Bell, Huawei, HiSilicon</w:t>
      </w:r>
      <w:r>
        <w:t>, 3GPP RAN4 #86bis, April 2018</w:t>
      </w:r>
      <w:bookmarkEnd w:id="31"/>
    </w:p>
    <w:p w14:paraId="11029A5A" w14:textId="44985536" w:rsidR="006E7AE7" w:rsidRDefault="006E7AE7" w:rsidP="00CB4975">
      <w:pPr>
        <w:pStyle w:val="EX"/>
        <w:numPr>
          <w:ilvl w:val="0"/>
          <w:numId w:val="5"/>
        </w:numPr>
      </w:pPr>
      <w:r w:rsidRPr="006E7AE7">
        <w:t>R4-1808001</w:t>
      </w:r>
      <w:r>
        <w:t>, “</w:t>
      </w:r>
      <w:r w:rsidRPr="006E7AE7">
        <w:t>Way forward on BWP switching</w:t>
      </w:r>
      <w:r>
        <w:t>,” MediaTek, 3GPP RAN4 #87, May 2018</w:t>
      </w:r>
    </w:p>
    <w:p w14:paraId="2309C379" w14:textId="5F068B0E" w:rsidR="0000658A" w:rsidRDefault="005F134F" w:rsidP="00CB4975">
      <w:pPr>
        <w:pStyle w:val="EX"/>
        <w:numPr>
          <w:ilvl w:val="0"/>
          <w:numId w:val="5"/>
        </w:numPr>
      </w:pPr>
      <w:bookmarkStart w:id="32" w:name="_Ref20905193"/>
      <w:r w:rsidRPr="005F134F">
        <w:t>R1-1803571</w:t>
      </w:r>
      <w:r w:rsidR="0000658A">
        <w:t>, “RAN1 #92 Meeting report”</w:t>
      </w:r>
      <w:bookmarkEnd w:id="32"/>
    </w:p>
    <w:p w14:paraId="2C44A8F3" w14:textId="456DEDA7" w:rsidR="00041868" w:rsidRDefault="00041868" w:rsidP="00CB4975">
      <w:pPr>
        <w:pStyle w:val="EX"/>
        <w:numPr>
          <w:ilvl w:val="0"/>
          <w:numId w:val="5"/>
        </w:numPr>
      </w:pPr>
      <w:bookmarkStart w:id="33" w:name="_Ref20905642"/>
      <w:r>
        <w:t>3GPP TS38.213, “</w:t>
      </w:r>
      <w:r w:rsidRPr="00041868">
        <w:t>Physical layer procedures for control</w:t>
      </w:r>
      <w:r>
        <w:t>”</w:t>
      </w:r>
      <w:bookmarkEnd w:id="33"/>
    </w:p>
    <w:p w14:paraId="61EDA588" w14:textId="20AA54BD" w:rsidR="006E7AE7" w:rsidRDefault="006E7AE7" w:rsidP="00CB4975">
      <w:pPr>
        <w:pStyle w:val="EX"/>
        <w:numPr>
          <w:ilvl w:val="0"/>
          <w:numId w:val="5"/>
        </w:numPr>
      </w:pPr>
      <w:bookmarkStart w:id="34" w:name="_Ref20905883"/>
      <w:r>
        <w:t>3GPP TS38.133, “</w:t>
      </w:r>
      <w:r w:rsidRPr="006E7AE7">
        <w:t>Requirements for support of radio resource management</w:t>
      </w:r>
      <w:r>
        <w:t>”</w:t>
      </w:r>
      <w:bookmarkEnd w:id="34"/>
    </w:p>
    <w:p w14:paraId="41818856" w14:textId="1CAF16A4" w:rsidR="006E7AE7" w:rsidRDefault="006E7AE7" w:rsidP="00CB4975">
      <w:pPr>
        <w:pStyle w:val="EX"/>
        <w:numPr>
          <w:ilvl w:val="0"/>
          <w:numId w:val="5"/>
        </w:numPr>
      </w:pPr>
      <w:bookmarkStart w:id="35" w:name="_Ref20905973"/>
      <w:r>
        <w:t>3GPP TS38.306, “</w:t>
      </w:r>
      <w:r w:rsidRPr="006E7AE7">
        <w:t>User Equipment (UE) radio access capabilities</w:t>
      </w:r>
      <w:r>
        <w:t>”</w:t>
      </w:r>
      <w:bookmarkEnd w:id="35"/>
    </w:p>
    <w:bookmarkEnd w:id="0"/>
    <w:p w14:paraId="2C7BC95E" w14:textId="77777777" w:rsidR="00080512" w:rsidRDefault="00080512"/>
    <w:p w14:paraId="556A4E6D" w14:textId="77777777" w:rsidR="00FF0621" w:rsidRDefault="00FF0621"/>
    <w:sectPr w:rsidR="00FF0621"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95BD5" w14:textId="77777777" w:rsidR="00BC3468" w:rsidRDefault="00BC3468">
      <w:r>
        <w:separator/>
      </w:r>
    </w:p>
  </w:endnote>
  <w:endnote w:type="continuationSeparator" w:id="0">
    <w:p w14:paraId="2EC63611" w14:textId="77777777" w:rsidR="00BC3468" w:rsidRDefault="00BC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D60C2" w14:textId="77777777" w:rsidR="00BC3468" w:rsidRDefault="00BC3468">
      <w:r>
        <w:separator/>
      </w:r>
    </w:p>
  </w:footnote>
  <w:footnote w:type="continuationSeparator" w:id="0">
    <w:p w14:paraId="5334FD54" w14:textId="77777777" w:rsidR="00BC3468" w:rsidRDefault="00BC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8A"/>
    <w:rsid w:val="00033397"/>
    <w:rsid w:val="00040095"/>
    <w:rsid w:val="00041868"/>
    <w:rsid w:val="00051834"/>
    <w:rsid w:val="00054A22"/>
    <w:rsid w:val="00062023"/>
    <w:rsid w:val="000655A6"/>
    <w:rsid w:val="00080512"/>
    <w:rsid w:val="000A365D"/>
    <w:rsid w:val="000A68F3"/>
    <w:rsid w:val="000C47C3"/>
    <w:rsid w:val="000D58AB"/>
    <w:rsid w:val="000F7D32"/>
    <w:rsid w:val="00104BC6"/>
    <w:rsid w:val="001133A5"/>
    <w:rsid w:val="00114E2C"/>
    <w:rsid w:val="0012619A"/>
    <w:rsid w:val="00133525"/>
    <w:rsid w:val="001A4C42"/>
    <w:rsid w:val="001C21C3"/>
    <w:rsid w:val="001D02C2"/>
    <w:rsid w:val="001F0C1D"/>
    <w:rsid w:val="001F1132"/>
    <w:rsid w:val="001F168B"/>
    <w:rsid w:val="001F5A79"/>
    <w:rsid w:val="002347A2"/>
    <w:rsid w:val="00247926"/>
    <w:rsid w:val="002675F0"/>
    <w:rsid w:val="0027462C"/>
    <w:rsid w:val="00276EE4"/>
    <w:rsid w:val="00285732"/>
    <w:rsid w:val="00286F1A"/>
    <w:rsid w:val="00290BFF"/>
    <w:rsid w:val="002B6339"/>
    <w:rsid w:val="002E00EE"/>
    <w:rsid w:val="002F2612"/>
    <w:rsid w:val="003172DC"/>
    <w:rsid w:val="00337522"/>
    <w:rsid w:val="0034052F"/>
    <w:rsid w:val="0035462D"/>
    <w:rsid w:val="003765B8"/>
    <w:rsid w:val="003A0483"/>
    <w:rsid w:val="003B772E"/>
    <w:rsid w:val="003C3971"/>
    <w:rsid w:val="003E62EA"/>
    <w:rsid w:val="003E7753"/>
    <w:rsid w:val="004169CB"/>
    <w:rsid w:val="00423334"/>
    <w:rsid w:val="004345EC"/>
    <w:rsid w:val="004826A9"/>
    <w:rsid w:val="004C1601"/>
    <w:rsid w:val="004D3578"/>
    <w:rsid w:val="004E213A"/>
    <w:rsid w:val="004E3D44"/>
    <w:rsid w:val="004F0988"/>
    <w:rsid w:val="004F3340"/>
    <w:rsid w:val="004F3E3D"/>
    <w:rsid w:val="0053388B"/>
    <w:rsid w:val="00534ABA"/>
    <w:rsid w:val="00535773"/>
    <w:rsid w:val="00543E6C"/>
    <w:rsid w:val="00565087"/>
    <w:rsid w:val="00572E14"/>
    <w:rsid w:val="005973BE"/>
    <w:rsid w:val="005A5986"/>
    <w:rsid w:val="005D2E01"/>
    <w:rsid w:val="005D7526"/>
    <w:rsid w:val="005E69AE"/>
    <w:rsid w:val="005F134F"/>
    <w:rsid w:val="00602AEA"/>
    <w:rsid w:val="00607E3C"/>
    <w:rsid w:val="00614FDF"/>
    <w:rsid w:val="006246A7"/>
    <w:rsid w:val="0062595A"/>
    <w:rsid w:val="0063543D"/>
    <w:rsid w:val="00647114"/>
    <w:rsid w:val="0065410B"/>
    <w:rsid w:val="006A323F"/>
    <w:rsid w:val="006B30D0"/>
    <w:rsid w:val="006C3D95"/>
    <w:rsid w:val="006E5C86"/>
    <w:rsid w:val="006E7AE7"/>
    <w:rsid w:val="00702213"/>
    <w:rsid w:val="00713C44"/>
    <w:rsid w:val="00734A5B"/>
    <w:rsid w:val="0074026F"/>
    <w:rsid w:val="007429F6"/>
    <w:rsid w:val="00744E76"/>
    <w:rsid w:val="00752198"/>
    <w:rsid w:val="00753881"/>
    <w:rsid w:val="00774DA4"/>
    <w:rsid w:val="00781F0F"/>
    <w:rsid w:val="007B600E"/>
    <w:rsid w:val="007B670C"/>
    <w:rsid w:val="007F0F4A"/>
    <w:rsid w:val="008028A4"/>
    <w:rsid w:val="00820B25"/>
    <w:rsid w:val="00820F7F"/>
    <w:rsid w:val="00830747"/>
    <w:rsid w:val="008768CA"/>
    <w:rsid w:val="008C384C"/>
    <w:rsid w:val="008E7986"/>
    <w:rsid w:val="0090271F"/>
    <w:rsid w:val="00902E23"/>
    <w:rsid w:val="009114D7"/>
    <w:rsid w:val="0091348E"/>
    <w:rsid w:val="00917CCB"/>
    <w:rsid w:val="00942EC2"/>
    <w:rsid w:val="00977B18"/>
    <w:rsid w:val="009F37B7"/>
    <w:rsid w:val="009F5E43"/>
    <w:rsid w:val="00A00460"/>
    <w:rsid w:val="00A10F02"/>
    <w:rsid w:val="00A164B4"/>
    <w:rsid w:val="00A205DD"/>
    <w:rsid w:val="00A26956"/>
    <w:rsid w:val="00A53724"/>
    <w:rsid w:val="00A73129"/>
    <w:rsid w:val="00A82346"/>
    <w:rsid w:val="00A92BA1"/>
    <w:rsid w:val="00AC6BC6"/>
    <w:rsid w:val="00AE2616"/>
    <w:rsid w:val="00AE3797"/>
    <w:rsid w:val="00AE6C72"/>
    <w:rsid w:val="00B022E6"/>
    <w:rsid w:val="00B02A63"/>
    <w:rsid w:val="00B070F5"/>
    <w:rsid w:val="00B15449"/>
    <w:rsid w:val="00B36C4A"/>
    <w:rsid w:val="00B93086"/>
    <w:rsid w:val="00BA19ED"/>
    <w:rsid w:val="00BA300B"/>
    <w:rsid w:val="00BA4B8D"/>
    <w:rsid w:val="00BB3C4F"/>
    <w:rsid w:val="00BC0F7D"/>
    <w:rsid w:val="00BC3468"/>
    <w:rsid w:val="00BE3255"/>
    <w:rsid w:val="00BF128E"/>
    <w:rsid w:val="00C1496A"/>
    <w:rsid w:val="00C33079"/>
    <w:rsid w:val="00C45231"/>
    <w:rsid w:val="00C72833"/>
    <w:rsid w:val="00C80F1D"/>
    <w:rsid w:val="00C93F40"/>
    <w:rsid w:val="00CA261A"/>
    <w:rsid w:val="00CA3D0C"/>
    <w:rsid w:val="00CA7253"/>
    <w:rsid w:val="00CB4975"/>
    <w:rsid w:val="00CE00B0"/>
    <w:rsid w:val="00CE4E6F"/>
    <w:rsid w:val="00CF20E3"/>
    <w:rsid w:val="00D309CC"/>
    <w:rsid w:val="00D46431"/>
    <w:rsid w:val="00D56A52"/>
    <w:rsid w:val="00D57972"/>
    <w:rsid w:val="00D675A9"/>
    <w:rsid w:val="00D738D6"/>
    <w:rsid w:val="00D75169"/>
    <w:rsid w:val="00D755EB"/>
    <w:rsid w:val="00D87E00"/>
    <w:rsid w:val="00D9134D"/>
    <w:rsid w:val="00DA7A03"/>
    <w:rsid w:val="00DB1818"/>
    <w:rsid w:val="00DC0C0D"/>
    <w:rsid w:val="00DC309B"/>
    <w:rsid w:val="00DC4DA2"/>
    <w:rsid w:val="00DD4C17"/>
    <w:rsid w:val="00DF2B1F"/>
    <w:rsid w:val="00DF3064"/>
    <w:rsid w:val="00DF3F59"/>
    <w:rsid w:val="00DF6189"/>
    <w:rsid w:val="00DF62CD"/>
    <w:rsid w:val="00E16509"/>
    <w:rsid w:val="00E44582"/>
    <w:rsid w:val="00E52814"/>
    <w:rsid w:val="00E72324"/>
    <w:rsid w:val="00E72ABE"/>
    <w:rsid w:val="00E77645"/>
    <w:rsid w:val="00EC4A25"/>
    <w:rsid w:val="00ED770E"/>
    <w:rsid w:val="00EE5AA7"/>
    <w:rsid w:val="00F025A2"/>
    <w:rsid w:val="00F04712"/>
    <w:rsid w:val="00F21311"/>
    <w:rsid w:val="00F22EC7"/>
    <w:rsid w:val="00F325C8"/>
    <w:rsid w:val="00F62AEB"/>
    <w:rsid w:val="00F653B8"/>
    <w:rsid w:val="00F70647"/>
    <w:rsid w:val="00F70E65"/>
    <w:rsid w:val="00F73394"/>
    <w:rsid w:val="00FA1266"/>
    <w:rsid w:val="00FC1192"/>
    <w:rsid w:val="00FF0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0E65"/>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A205DD"/>
    <w:pPr>
      <w:spacing w:before="100" w:beforeAutospacing="1" w:after="100" w:afterAutospacing="1"/>
    </w:pPr>
  </w:style>
  <w:style w:type="character" w:customStyle="1" w:styleId="apple-tab-span">
    <w:name w:val="apple-tab-span"/>
    <w:basedOn w:val="DefaultParagraphFont"/>
    <w:rsid w:val="00F70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94272">
      <w:bodyDiv w:val="1"/>
      <w:marLeft w:val="0"/>
      <w:marRight w:val="0"/>
      <w:marTop w:val="0"/>
      <w:marBottom w:val="0"/>
      <w:divBdr>
        <w:top w:val="none" w:sz="0" w:space="0" w:color="auto"/>
        <w:left w:val="none" w:sz="0" w:space="0" w:color="auto"/>
        <w:bottom w:val="none" w:sz="0" w:space="0" w:color="auto"/>
        <w:right w:val="none" w:sz="0" w:space="0" w:color="auto"/>
      </w:divBdr>
    </w:div>
    <w:div w:id="531577794">
      <w:bodyDiv w:val="1"/>
      <w:marLeft w:val="0"/>
      <w:marRight w:val="0"/>
      <w:marTop w:val="0"/>
      <w:marBottom w:val="0"/>
      <w:divBdr>
        <w:top w:val="none" w:sz="0" w:space="0" w:color="auto"/>
        <w:left w:val="none" w:sz="0" w:space="0" w:color="auto"/>
        <w:bottom w:val="none" w:sz="0" w:space="0" w:color="auto"/>
        <w:right w:val="none" w:sz="0" w:space="0" w:color="auto"/>
      </w:divBdr>
    </w:div>
    <w:div w:id="688600205">
      <w:bodyDiv w:val="1"/>
      <w:marLeft w:val="0"/>
      <w:marRight w:val="0"/>
      <w:marTop w:val="0"/>
      <w:marBottom w:val="0"/>
      <w:divBdr>
        <w:top w:val="none" w:sz="0" w:space="0" w:color="auto"/>
        <w:left w:val="none" w:sz="0" w:space="0" w:color="auto"/>
        <w:bottom w:val="none" w:sz="0" w:space="0" w:color="auto"/>
        <w:right w:val="none" w:sz="0" w:space="0" w:color="auto"/>
      </w:divBdr>
      <w:divsChild>
        <w:div w:id="1824933337">
          <w:marLeft w:val="0"/>
          <w:marRight w:val="0"/>
          <w:marTop w:val="0"/>
          <w:marBottom w:val="0"/>
          <w:divBdr>
            <w:top w:val="none" w:sz="0" w:space="0" w:color="auto"/>
            <w:left w:val="none" w:sz="0" w:space="0" w:color="auto"/>
            <w:bottom w:val="none" w:sz="0" w:space="0" w:color="auto"/>
            <w:right w:val="none" w:sz="0" w:space="0" w:color="auto"/>
          </w:divBdr>
          <w:divsChild>
            <w:div w:id="139809967">
              <w:marLeft w:val="0"/>
              <w:marRight w:val="0"/>
              <w:marTop w:val="0"/>
              <w:marBottom w:val="0"/>
              <w:divBdr>
                <w:top w:val="none" w:sz="0" w:space="0" w:color="auto"/>
                <w:left w:val="none" w:sz="0" w:space="0" w:color="auto"/>
                <w:bottom w:val="none" w:sz="0" w:space="0" w:color="auto"/>
                <w:right w:val="none" w:sz="0" w:space="0" w:color="auto"/>
              </w:divBdr>
              <w:divsChild>
                <w:div w:id="15706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EC9D5-548D-6F49-AEA2-FF3DC97E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77</TotalTime>
  <Pages>6</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27</cp:revision>
  <cp:lastPrinted>2019-02-25T14:05:00Z</cp:lastPrinted>
  <dcterms:created xsi:type="dcterms:W3CDTF">2019-09-18T22:31:00Z</dcterms:created>
  <dcterms:modified xsi:type="dcterms:W3CDTF">2019-10-04T15:34:00Z</dcterms:modified>
  <cp:category/>
</cp:coreProperties>
</file>